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E78C6">
      <w:pPr>
        <w:pStyle w:val="2"/>
        <w:numPr>
          <w:ilvl w:val="0"/>
          <w:numId w:val="0"/>
        </w:numPr>
        <w:spacing w:before="0" w:line="240" w:lineRule="auto"/>
        <w:rPr>
          <w:rFonts w:ascii="宋体" w:hAnsi="宋体" w:eastAsia="宋体"/>
          <w:strike w:val="0"/>
          <w:dstrike w:val="0"/>
          <w:color w:val="auto"/>
          <w:sz w:val="24"/>
          <w:szCs w:val="24"/>
          <w:highlight w:val="none"/>
        </w:rPr>
      </w:pPr>
      <w:r>
        <w:rPr>
          <w:rFonts w:hint="eastAsia" w:ascii="宋体" w:hAnsi="宋体" w:eastAsia="宋体"/>
          <w:strike w:val="0"/>
          <w:dstrike w:val="0"/>
          <w:color w:val="auto"/>
          <w:sz w:val="24"/>
          <w:szCs w:val="24"/>
          <w:highlight w:val="none"/>
          <w:lang w:val="en-US" w:eastAsia="zh-CN"/>
        </w:rPr>
        <w:t>附件：</w:t>
      </w:r>
      <w:r>
        <w:rPr>
          <w:rFonts w:ascii="宋体" w:hAnsi="宋体" w:eastAsia="宋体"/>
          <w:strike w:val="0"/>
          <w:dstrike w:val="0"/>
          <w:color w:val="auto"/>
          <w:sz w:val="24"/>
          <w:szCs w:val="24"/>
          <w:highlight w:val="none"/>
        </w:rPr>
        <w:t>评</w:t>
      </w:r>
      <w:r>
        <w:rPr>
          <w:rFonts w:hint="eastAsia" w:ascii="宋体" w:hAnsi="宋体" w:eastAsia="宋体"/>
          <w:strike w:val="0"/>
          <w:dstrike w:val="0"/>
          <w:color w:val="auto"/>
          <w:sz w:val="24"/>
          <w:szCs w:val="24"/>
          <w:highlight w:val="none"/>
        </w:rPr>
        <w:t>审</w:t>
      </w:r>
      <w:r>
        <w:rPr>
          <w:rFonts w:ascii="宋体" w:hAnsi="宋体" w:eastAsia="宋体"/>
          <w:strike w:val="0"/>
          <w:dstrike w:val="0"/>
          <w:color w:val="auto"/>
          <w:sz w:val="24"/>
          <w:szCs w:val="24"/>
          <w:highlight w:val="none"/>
        </w:rPr>
        <w:t>标准</w:t>
      </w:r>
    </w:p>
    <w:tbl>
      <w:tblPr>
        <w:tblStyle w:val="6"/>
        <w:tblW w:w="9750"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5"/>
        <w:gridCol w:w="1187"/>
        <w:gridCol w:w="587"/>
        <w:gridCol w:w="4710"/>
        <w:gridCol w:w="2641"/>
      </w:tblGrid>
      <w:tr w14:paraId="13FE6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25" w:type="dxa"/>
            <w:noWrap w:val="0"/>
            <w:vAlign w:val="center"/>
          </w:tcPr>
          <w:p w14:paraId="60689CCC">
            <w:pPr>
              <w:keepNext w:val="0"/>
              <w:keepLines w:val="0"/>
              <w:pageBreakBefore w:val="0"/>
              <w:spacing w:line="320" w:lineRule="exact"/>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187" w:type="dxa"/>
            <w:noWrap w:val="0"/>
            <w:vAlign w:val="center"/>
          </w:tcPr>
          <w:p w14:paraId="255DF1A4">
            <w:pPr>
              <w:keepNext w:val="0"/>
              <w:keepLines w:val="0"/>
              <w:pageBreakBefore w:val="0"/>
              <w:spacing w:line="320" w:lineRule="exact"/>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587" w:type="dxa"/>
            <w:noWrap w:val="0"/>
            <w:vAlign w:val="center"/>
          </w:tcPr>
          <w:p w14:paraId="338BBAB8">
            <w:pPr>
              <w:keepNext w:val="0"/>
              <w:keepLines w:val="0"/>
              <w:pageBreakBefore w:val="0"/>
              <w:spacing w:line="320" w:lineRule="exact"/>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4710" w:type="dxa"/>
            <w:noWrap w:val="0"/>
            <w:vAlign w:val="center"/>
          </w:tcPr>
          <w:p w14:paraId="036A7C6E">
            <w:pPr>
              <w:keepNext w:val="0"/>
              <w:keepLines w:val="0"/>
              <w:pageBreakBefore w:val="0"/>
              <w:kinsoku/>
              <w:wordWrap/>
              <w:overflowPunct/>
              <w:topLinePunct w:val="0"/>
              <w:autoSpaceDE/>
              <w:autoSpaceDN/>
              <w:bidi w:val="0"/>
              <w:adjustRightInd/>
              <w:snapToGrid/>
              <w:spacing w:line="320" w:lineRule="exact"/>
              <w:ind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c>
          <w:tcPr>
            <w:tcW w:w="2641" w:type="dxa"/>
            <w:noWrap w:val="0"/>
            <w:vAlign w:val="center"/>
          </w:tcPr>
          <w:p w14:paraId="1285D298">
            <w:pPr>
              <w:pStyle w:val="8"/>
              <w:keepNext w:val="0"/>
              <w:keepLines w:val="0"/>
              <w:pageBreakBefore w:val="0"/>
              <w:spacing w:before="0" w:after="0"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r>
      <w:tr w14:paraId="48D79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2" w:hRule="atLeast"/>
        </w:trPr>
        <w:tc>
          <w:tcPr>
            <w:tcW w:w="625" w:type="dxa"/>
            <w:noWrap w:val="0"/>
            <w:vAlign w:val="center"/>
          </w:tcPr>
          <w:p w14:paraId="32459DCD">
            <w:pPr>
              <w:keepNext w:val="0"/>
              <w:keepLines w:val="0"/>
              <w:pageBreakBefore w:val="0"/>
              <w:spacing w:line="320" w:lineRule="exact"/>
              <w:ind w:firstLine="28"/>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1187" w:type="dxa"/>
            <w:noWrap w:val="0"/>
            <w:vAlign w:val="center"/>
          </w:tcPr>
          <w:p w14:paraId="37315309">
            <w:pPr>
              <w:keepNext w:val="0"/>
              <w:keepLines w:val="0"/>
              <w:pageBreakBefore w:val="0"/>
              <w:spacing w:line="32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价格分</w:t>
            </w:r>
          </w:p>
        </w:tc>
        <w:tc>
          <w:tcPr>
            <w:tcW w:w="587" w:type="dxa"/>
            <w:noWrap w:val="0"/>
            <w:vAlign w:val="center"/>
          </w:tcPr>
          <w:p w14:paraId="117379E9">
            <w:pPr>
              <w:keepNext w:val="0"/>
              <w:keepLines w:val="0"/>
              <w:pageBreakBefore w:val="0"/>
              <w:spacing w:line="320" w:lineRule="exact"/>
              <w:ind w:firstLine="28"/>
              <w:jc w:val="center"/>
              <w:rPr>
                <w:rFonts w:hint="default"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30</w:t>
            </w:r>
          </w:p>
        </w:tc>
        <w:tc>
          <w:tcPr>
            <w:tcW w:w="4710" w:type="dxa"/>
            <w:noWrap w:val="0"/>
            <w:vAlign w:val="center"/>
          </w:tcPr>
          <w:p w14:paraId="045901F6">
            <w:pPr>
              <w:keepNext w:val="0"/>
              <w:keepLines w:val="0"/>
              <w:pageBreakBefore w:val="0"/>
              <w:widowControl/>
              <w:kinsoku/>
              <w:wordWrap/>
              <w:overflowPunct/>
              <w:topLinePunct w:val="0"/>
              <w:autoSpaceDE/>
              <w:autoSpaceDN/>
              <w:bidi w:val="0"/>
              <w:adjustRightInd/>
              <w:snapToGrid/>
              <w:spacing w:line="320" w:lineRule="exact"/>
              <w:ind w:firstLine="0"/>
              <w:jc w:val="left"/>
              <w:textAlignment w:val="auto"/>
              <w:rPr>
                <w:rFonts w:ascii="宋体" w:hAnsi="宋体" w:cs="宋体"/>
                <w:sz w:val="21"/>
                <w:szCs w:val="21"/>
                <w:highlight w:val="none"/>
              </w:rPr>
            </w:pPr>
            <w:r>
              <w:rPr>
                <w:rFonts w:hint="eastAsia" w:ascii="宋体" w:hAnsi="宋体" w:cs="宋体"/>
                <w:sz w:val="21"/>
                <w:szCs w:val="21"/>
                <w:highlight w:val="none"/>
              </w:rPr>
              <w:t>满足磋商文件要求且最后报价最低的报价为磋商基准价，其价格分为满分。其他供应商的价格分统一按照下列公式计算（计算结果四舍五入保留两位小数）：</w:t>
            </w:r>
          </w:p>
          <w:p w14:paraId="0DBB5602">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cs="宋体"/>
                <w:sz w:val="21"/>
                <w:szCs w:val="21"/>
                <w:highlight w:val="none"/>
              </w:rPr>
            </w:pPr>
            <w:r>
              <w:rPr>
                <w:rFonts w:hint="eastAsia" w:ascii="宋体" w:hAnsi="宋体" w:cs="宋体"/>
                <w:sz w:val="21"/>
                <w:szCs w:val="21"/>
                <w:highlight w:val="none"/>
                <w:lang w:val="zh-CN"/>
              </w:rPr>
              <w:t>磋商报价得分=（磋商基准价/最</w:t>
            </w:r>
            <w:r>
              <w:rPr>
                <w:rFonts w:hint="eastAsia" w:ascii="宋体" w:hAnsi="宋体" w:cs="宋体"/>
                <w:sz w:val="21"/>
                <w:szCs w:val="21"/>
                <w:highlight w:val="none"/>
              </w:rPr>
              <w:t>后</w:t>
            </w:r>
            <w:r>
              <w:rPr>
                <w:rFonts w:hint="eastAsia" w:ascii="宋体" w:hAnsi="宋体" w:cs="宋体"/>
                <w:sz w:val="21"/>
                <w:szCs w:val="21"/>
                <w:highlight w:val="none"/>
                <w:lang w:val="zh-CN"/>
              </w:rPr>
              <w:t>磋商报价）</w:t>
            </w:r>
            <w:r>
              <w:rPr>
                <w:rFonts w:hint="eastAsia" w:ascii="宋体" w:hAnsi="宋体" w:cs="宋体"/>
                <w:sz w:val="21"/>
                <w:szCs w:val="21"/>
                <w:highlight w:val="none"/>
              </w:rPr>
              <w:t>×</w:t>
            </w:r>
            <w:r>
              <w:rPr>
                <w:rFonts w:hint="eastAsia" w:ascii="宋体" w:hAnsi="宋体" w:cs="宋体"/>
                <w:sz w:val="21"/>
                <w:szCs w:val="21"/>
                <w:highlight w:val="none"/>
                <w:lang w:val="en-US" w:eastAsia="zh-CN"/>
              </w:rPr>
              <w:t>30</w:t>
            </w:r>
            <w:r>
              <w:rPr>
                <w:rFonts w:hint="eastAsia" w:ascii="宋体" w:hAnsi="宋体" w:cs="宋体"/>
                <w:sz w:val="21"/>
                <w:szCs w:val="21"/>
                <w:highlight w:val="none"/>
              </w:rPr>
              <w:t xml:space="preserve">%×100。                                           </w:t>
            </w:r>
          </w:p>
          <w:p w14:paraId="1529F872">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eastAsia="宋体" w:cs="宋体"/>
                <w:sz w:val="21"/>
                <w:szCs w:val="21"/>
                <w:highlight w:val="none"/>
              </w:rPr>
            </w:pPr>
          </w:p>
        </w:tc>
        <w:tc>
          <w:tcPr>
            <w:tcW w:w="2641" w:type="dxa"/>
            <w:noWrap w:val="0"/>
            <w:vAlign w:val="center"/>
          </w:tcPr>
          <w:p w14:paraId="2DA7AE50">
            <w:pPr>
              <w:keepNext w:val="0"/>
              <w:keepLines w:val="0"/>
              <w:pageBreakBefore w:val="0"/>
              <w:widowControl/>
              <w:spacing w:line="320" w:lineRule="exact"/>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此处最后报价指经过报价修正，及因落实政府采购政策进行价格调整后的最后报价。详见第三章《评审程序、评审方法和评审标准》3.2及3.3</w:t>
            </w:r>
          </w:p>
        </w:tc>
      </w:tr>
      <w:tr w14:paraId="29C07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25" w:type="dxa"/>
            <w:noWrap w:val="0"/>
            <w:vAlign w:val="center"/>
          </w:tcPr>
          <w:p w14:paraId="67FC52BE">
            <w:pPr>
              <w:keepNext w:val="0"/>
              <w:keepLines w:val="0"/>
              <w:pageBreakBefore w:val="0"/>
              <w:spacing w:line="32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w:t>
            </w:r>
          </w:p>
        </w:tc>
        <w:tc>
          <w:tcPr>
            <w:tcW w:w="1187" w:type="dxa"/>
            <w:noWrap w:val="0"/>
            <w:vAlign w:val="center"/>
          </w:tcPr>
          <w:p w14:paraId="0D764AA0">
            <w:pPr>
              <w:keepNext w:val="0"/>
              <w:keepLines w:val="0"/>
              <w:pageBreakBefore w:val="0"/>
              <w:spacing w:line="32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主观分</w:t>
            </w:r>
          </w:p>
        </w:tc>
        <w:tc>
          <w:tcPr>
            <w:tcW w:w="587" w:type="dxa"/>
            <w:noWrap w:val="0"/>
            <w:vAlign w:val="center"/>
          </w:tcPr>
          <w:p w14:paraId="7C4C3734">
            <w:pPr>
              <w:keepNext w:val="0"/>
              <w:keepLines w:val="0"/>
              <w:pageBreakBefore w:val="0"/>
              <w:spacing w:line="320" w:lineRule="exact"/>
              <w:ind w:firstLine="28"/>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50</w:t>
            </w:r>
          </w:p>
        </w:tc>
        <w:tc>
          <w:tcPr>
            <w:tcW w:w="4710" w:type="dxa"/>
            <w:noWrap w:val="0"/>
            <w:vAlign w:val="center"/>
          </w:tcPr>
          <w:p w14:paraId="7A1CDCDA">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宋体" w:hAnsi="宋体" w:eastAsia="宋体" w:cs="宋体"/>
                <w:b/>
                <w:bCs/>
                <w:sz w:val="21"/>
                <w:szCs w:val="21"/>
                <w:highlight w:val="none"/>
              </w:rPr>
            </w:pPr>
          </w:p>
        </w:tc>
        <w:tc>
          <w:tcPr>
            <w:tcW w:w="2641" w:type="dxa"/>
            <w:noWrap w:val="0"/>
            <w:vAlign w:val="center"/>
          </w:tcPr>
          <w:p w14:paraId="70613E1C">
            <w:pPr>
              <w:keepNext w:val="0"/>
              <w:keepLines w:val="0"/>
              <w:pageBreakBefore w:val="0"/>
              <w:spacing w:line="320" w:lineRule="exact"/>
              <w:ind w:left="-38"/>
              <w:rPr>
                <w:rFonts w:hint="eastAsia" w:ascii="宋体" w:hAnsi="宋体" w:eastAsia="宋体" w:cs="宋体"/>
                <w:b/>
                <w:bCs/>
                <w:sz w:val="21"/>
                <w:szCs w:val="21"/>
                <w:highlight w:val="none"/>
              </w:rPr>
            </w:pPr>
          </w:p>
        </w:tc>
      </w:tr>
      <w:tr w14:paraId="0BD80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3" w:hRule="atLeast"/>
        </w:trPr>
        <w:tc>
          <w:tcPr>
            <w:tcW w:w="625" w:type="dxa"/>
            <w:noWrap w:val="0"/>
            <w:vAlign w:val="center"/>
          </w:tcPr>
          <w:p w14:paraId="5347B976">
            <w:pPr>
              <w:keepNext w:val="0"/>
              <w:keepLines w:val="0"/>
              <w:pageBreakBefore w:val="0"/>
              <w:spacing w:line="300" w:lineRule="exact"/>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1187" w:type="dxa"/>
            <w:noWrap w:val="0"/>
            <w:vAlign w:val="center"/>
          </w:tcPr>
          <w:p w14:paraId="1D908FB8">
            <w:pPr>
              <w:widowControl/>
              <w:jc w:val="center"/>
              <w:rPr>
                <w:rFonts w:hint="eastAsia" w:ascii="宋体" w:hAnsi="宋体" w:eastAsia="宋体" w:cs="宋体"/>
                <w:sz w:val="21"/>
                <w:szCs w:val="21"/>
                <w:highlight w:val="none"/>
              </w:rPr>
            </w:pPr>
            <w:r>
              <w:rPr>
                <w:rFonts w:hint="eastAsia" w:ascii="宋体" w:hAnsi="宋体" w:cs="宋体"/>
                <w:sz w:val="21"/>
                <w:szCs w:val="21"/>
                <w:highlight w:val="none"/>
              </w:rPr>
              <w:t>投标单位内部管理制度比较</w:t>
            </w:r>
          </w:p>
        </w:tc>
        <w:tc>
          <w:tcPr>
            <w:tcW w:w="587" w:type="dxa"/>
            <w:noWrap w:val="0"/>
            <w:vAlign w:val="center"/>
          </w:tcPr>
          <w:p w14:paraId="28F1639D">
            <w:pPr>
              <w:keepNext w:val="0"/>
              <w:keepLines w:val="0"/>
              <w:pageBreakBefore w:val="0"/>
              <w:spacing w:line="320" w:lineRule="exact"/>
              <w:ind w:firstLine="28"/>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4710" w:type="dxa"/>
            <w:noWrap w:val="0"/>
            <w:vAlign w:val="center"/>
          </w:tcPr>
          <w:p w14:paraId="19EB6B11">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sz w:val="21"/>
                <w:szCs w:val="21"/>
                <w:highlight w:val="none"/>
              </w:rPr>
              <w:t>内容中至少包含组织架构、内部养护检查考核制度、自查自纠制度、奖惩措施、养护档案管理制度、安全文明措施等</w:t>
            </w:r>
            <w:r>
              <w:rPr>
                <w:rFonts w:hint="eastAsia" w:ascii="宋体" w:hAnsi="宋体" w:cs="宋体"/>
                <w:bCs/>
                <w:sz w:val="21"/>
                <w:szCs w:val="21"/>
                <w:highlight w:val="none"/>
              </w:rPr>
              <w:t>。</w:t>
            </w:r>
          </w:p>
          <w:p w14:paraId="7C3073FE">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评委根据各项描述打分，方案比较完整，具有可操作性、针对性的，得</w:t>
            </w:r>
            <w:r>
              <w:rPr>
                <w:rFonts w:hint="eastAsia" w:ascii="宋体" w:hAnsi="宋体" w:cs="宋体"/>
                <w:bCs/>
                <w:sz w:val="21"/>
                <w:szCs w:val="21"/>
                <w:highlight w:val="none"/>
                <w:lang w:val="en-US" w:eastAsia="zh-CN"/>
              </w:rPr>
              <w:t>8</w:t>
            </w:r>
            <w:r>
              <w:rPr>
                <w:rFonts w:hint="eastAsia" w:ascii="宋体" w:hAnsi="宋体" w:cs="宋体"/>
                <w:bCs/>
                <w:sz w:val="21"/>
                <w:szCs w:val="21"/>
                <w:highlight w:val="none"/>
              </w:rPr>
              <w:t>分；</w:t>
            </w:r>
          </w:p>
          <w:p w14:paraId="2073F554">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方案基本完整的，得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p w14:paraId="1E014CDF">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方案针对性欠缺、描述一般的，得</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分；</w:t>
            </w:r>
          </w:p>
          <w:p w14:paraId="0B51958A">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sz w:val="21"/>
                <w:szCs w:val="21"/>
                <w:highlight w:val="none"/>
              </w:rPr>
            </w:pPr>
            <w:r>
              <w:rPr>
                <w:rFonts w:hint="eastAsia" w:ascii="宋体" w:hAnsi="宋体" w:cs="宋体"/>
                <w:bCs/>
                <w:sz w:val="21"/>
                <w:szCs w:val="21"/>
                <w:highlight w:val="none"/>
              </w:rPr>
              <w:t>没有不得分。</w:t>
            </w:r>
          </w:p>
        </w:tc>
        <w:tc>
          <w:tcPr>
            <w:tcW w:w="2641" w:type="dxa"/>
            <w:noWrap w:val="0"/>
            <w:vAlign w:val="center"/>
          </w:tcPr>
          <w:p w14:paraId="1B6EC43A">
            <w:pPr>
              <w:keepNext w:val="0"/>
              <w:keepLines w:val="0"/>
              <w:pageBreakBefore w:val="0"/>
              <w:spacing w:line="320" w:lineRule="exact"/>
              <w:ind w:left="-3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根据响应文件中供应商提供的本项内容评分。</w:t>
            </w:r>
          </w:p>
        </w:tc>
      </w:tr>
      <w:tr w14:paraId="5F25B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7" w:hRule="atLeast"/>
        </w:trPr>
        <w:tc>
          <w:tcPr>
            <w:tcW w:w="625" w:type="dxa"/>
            <w:noWrap w:val="0"/>
            <w:vAlign w:val="center"/>
          </w:tcPr>
          <w:p w14:paraId="3A0058CA">
            <w:pPr>
              <w:keepNext w:val="0"/>
              <w:keepLines w:val="0"/>
              <w:pageBreakBefore w:val="0"/>
              <w:spacing w:line="300" w:lineRule="exact"/>
              <w:ind w:firstLine="28"/>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1187" w:type="dxa"/>
            <w:noWrap w:val="0"/>
            <w:vAlign w:val="center"/>
          </w:tcPr>
          <w:p w14:paraId="232DD0E9">
            <w:pPr>
              <w:widowControl/>
              <w:jc w:val="center"/>
              <w:rPr>
                <w:rFonts w:hint="eastAsia" w:ascii="宋体" w:hAnsi="宋体" w:eastAsia="宋体" w:cs="宋体"/>
                <w:sz w:val="21"/>
                <w:szCs w:val="21"/>
                <w:highlight w:val="none"/>
              </w:rPr>
            </w:pPr>
            <w:r>
              <w:rPr>
                <w:rFonts w:hint="eastAsia" w:ascii="宋体" w:hAnsi="宋体" w:cs="宋体"/>
                <w:bCs/>
                <w:sz w:val="21"/>
                <w:szCs w:val="21"/>
                <w:highlight w:val="none"/>
              </w:rPr>
              <w:t>绿化养护类-重要树种及其他乔灌草的修剪措施</w:t>
            </w:r>
          </w:p>
        </w:tc>
        <w:tc>
          <w:tcPr>
            <w:tcW w:w="587" w:type="dxa"/>
            <w:noWrap w:val="0"/>
            <w:vAlign w:val="center"/>
          </w:tcPr>
          <w:p w14:paraId="690E8885">
            <w:pPr>
              <w:pStyle w:val="4"/>
              <w:keepNext w:val="0"/>
              <w:keepLines w:val="0"/>
              <w:pageBreakBefore w:val="0"/>
              <w:spacing w:after="0"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4710" w:type="dxa"/>
            <w:noWrap w:val="0"/>
            <w:vAlign w:val="center"/>
          </w:tcPr>
          <w:p w14:paraId="27D3CE03">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针对不同行道树制定有针对性修剪措施。</w:t>
            </w:r>
          </w:p>
          <w:p w14:paraId="52A8779E">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其他乔木、花灌木、草坪、绿篱及地被等根据生长特性和季节制定合理的修剪措施。</w:t>
            </w:r>
          </w:p>
          <w:p w14:paraId="2782996E">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以上养护措施要与投标标段实际情况相符，有针对性。</w:t>
            </w:r>
          </w:p>
          <w:p w14:paraId="28862943">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评委根据各项描述打分，方案比较完整，具有可操作性、针对性的，得</w:t>
            </w:r>
            <w:r>
              <w:rPr>
                <w:rFonts w:hint="eastAsia" w:ascii="宋体" w:hAnsi="宋体" w:cs="宋体"/>
                <w:bCs/>
                <w:sz w:val="21"/>
                <w:szCs w:val="21"/>
                <w:highlight w:val="none"/>
                <w:lang w:val="en-US" w:eastAsia="zh-CN"/>
              </w:rPr>
              <w:t>8</w:t>
            </w:r>
            <w:r>
              <w:rPr>
                <w:rFonts w:hint="eastAsia" w:ascii="宋体" w:hAnsi="宋体" w:cs="宋体"/>
                <w:bCs/>
                <w:sz w:val="21"/>
                <w:szCs w:val="21"/>
                <w:highlight w:val="none"/>
              </w:rPr>
              <w:t>分；</w:t>
            </w:r>
          </w:p>
          <w:p w14:paraId="31DB1D26">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方案基本完整的，得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p w14:paraId="311E95C3">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方案针对性欠缺、描述一般的，得</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分；</w:t>
            </w:r>
          </w:p>
          <w:p w14:paraId="71756608">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rPr>
            </w:pPr>
            <w:r>
              <w:rPr>
                <w:rFonts w:hint="eastAsia" w:ascii="宋体" w:hAnsi="宋体" w:cs="宋体"/>
                <w:bCs/>
                <w:sz w:val="21"/>
                <w:szCs w:val="21"/>
                <w:highlight w:val="none"/>
              </w:rPr>
              <w:t>没有不得分。</w:t>
            </w:r>
          </w:p>
        </w:tc>
        <w:tc>
          <w:tcPr>
            <w:tcW w:w="2641" w:type="dxa"/>
            <w:noWrap w:val="0"/>
            <w:vAlign w:val="center"/>
          </w:tcPr>
          <w:p w14:paraId="462D7F50">
            <w:pPr>
              <w:keepNext w:val="0"/>
              <w:keepLines w:val="0"/>
              <w:pageBreakBefore w:val="0"/>
              <w:spacing w:line="320" w:lineRule="exact"/>
              <w:ind w:left="-3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根据响应文件中供应商提供的本项内容评分。</w:t>
            </w:r>
          </w:p>
        </w:tc>
      </w:tr>
      <w:tr w14:paraId="03A3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3" w:hRule="atLeast"/>
        </w:trPr>
        <w:tc>
          <w:tcPr>
            <w:tcW w:w="625" w:type="dxa"/>
            <w:noWrap w:val="0"/>
            <w:vAlign w:val="center"/>
          </w:tcPr>
          <w:p w14:paraId="4E55B791">
            <w:pPr>
              <w:keepNext w:val="0"/>
              <w:keepLines w:val="0"/>
              <w:pageBreakBefore w:val="0"/>
              <w:spacing w:line="300" w:lineRule="exact"/>
              <w:ind w:firstLine="28"/>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2.3</w:t>
            </w:r>
          </w:p>
        </w:tc>
        <w:tc>
          <w:tcPr>
            <w:tcW w:w="1187" w:type="dxa"/>
            <w:noWrap w:val="0"/>
            <w:vAlign w:val="center"/>
          </w:tcPr>
          <w:p w14:paraId="717F8559">
            <w:pPr>
              <w:widowControl/>
              <w:jc w:val="center"/>
              <w:rPr>
                <w:rFonts w:hint="eastAsia" w:ascii="宋体" w:hAnsi="宋体" w:eastAsia="宋体" w:cs="宋体"/>
                <w:sz w:val="21"/>
                <w:szCs w:val="21"/>
                <w:highlight w:val="none"/>
              </w:rPr>
            </w:pPr>
            <w:r>
              <w:rPr>
                <w:rFonts w:hint="eastAsia" w:ascii="宋体" w:hAnsi="宋体" w:cs="宋体"/>
                <w:bCs/>
                <w:sz w:val="21"/>
                <w:szCs w:val="21"/>
                <w:highlight w:val="none"/>
              </w:rPr>
              <w:t>绿化养护类-</w:t>
            </w:r>
            <w:r>
              <w:rPr>
                <w:rFonts w:hint="eastAsia" w:ascii="宋体" w:hAnsi="宋体" w:cs="宋体"/>
                <w:sz w:val="21"/>
                <w:szCs w:val="21"/>
                <w:highlight w:val="none"/>
              </w:rPr>
              <w:t>植物除草、灌溉、施肥方案</w:t>
            </w:r>
          </w:p>
        </w:tc>
        <w:tc>
          <w:tcPr>
            <w:tcW w:w="587" w:type="dxa"/>
            <w:noWrap w:val="0"/>
            <w:vAlign w:val="center"/>
          </w:tcPr>
          <w:p w14:paraId="6428A7BC">
            <w:pPr>
              <w:pStyle w:val="4"/>
              <w:keepNext w:val="0"/>
              <w:keepLines w:val="0"/>
              <w:pageBreakBefore w:val="0"/>
              <w:spacing w:after="0" w:line="32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8</w:t>
            </w:r>
          </w:p>
        </w:tc>
        <w:tc>
          <w:tcPr>
            <w:tcW w:w="4710" w:type="dxa"/>
            <w:noWrap w:val="0"/>
            <w:vAlign w:val="center"/>
          </w:tcPr>
          <w:p w14:paraId="2BBBCE20">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根据养护区域、季节采取相应除草措施，有响应养护手册的浇水、排水要求，根据生长规律制定出有效的施肥方案。</w:t>
            </w:r>
          </w:p>
          <w:p w14:paraId="1568BA56">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以上养护措施要与投标标段实际情况相符，有针对性。</w:t>
            </w:r>
          </w:p>
          <w:p w14:paraId="6708CA4D">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评委根据各项描述打分，方案比较完整，具有可操作性、针对性的，得</w:t>
            </w:r>
            <w:r>
              <w:rPr>
                <w:rFonts w:hint="eastAsia" w:ascii="宋体" w:hAnsi="宋体" w:cs="宋体"/>
                <w:bCs/>
                <w:sz w:val="21"/>
                <w:szCs w:val="21"/>
                <w:highlight w:val="none"/>
                <w:lang w:val="en-US" w:eastAsia="zh-CN"/>
              </w:rPr>
              <w:t>8</w:t>
            </w:r>
            <w:r>
              <w:rPr>
                <w:rFonts w:hint="eastAsia" w:ascii="宋体" w:hAnsi="宋体" w:cs="宋体"/>
                <w:bCs/>
                <w:sz w:val="21"/>
                <w:szCs w:val="21"/>
                <w:highlight w:val="none"/>
              </w:rPr>
              <w:t>分；</w:t>
            </w:r>
          </w:p>
          <w:p w14:paraId="79327C19">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方案基本完整的，得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p w14:paraId="01935967">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方案针对性欠缺、描述一般的，得</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分；</w:t>
            </w:r>
          </w:p>
          <w:p w14:paraId="2BA7528E">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rPr>
            </w:pPr>
            <w:r>
              <w:rPr>
                <w:rFonts w:hint="eastAsia" w:ascii="宋体" w:hAnsi="宋体" w:cs="宋体"/>
                <w:bCs/>
                <w:sz w:val="21"/>
                <w:szCs w:val="21"/>
                <w:highlight w:val="none"/>
              </w:rPr>
              <w:t>没有不得分。</w:t>
            </w:r>
          </w:p>
        </w:tc>
        <w:tc>
          <w:tcPr>
            <w:tcW w:w="2641" w:type="dxa"/>
            <w:noWrap w:val="0"/>
            <w:vAlign w:val="center"/>
          </w:tcPr>
          <w:p w14:paraId="7F13F3E8">
            <w:pPr>
              <w:keepNext w:val="0"/>
              <w:keepLines w:val="0"/>
              <w:pageBreakBefore w:val="0"/>
              <w:spacing w:line="320" w:lineRule="exact"/>
              <w:ind w:left="-3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根据响应文件中供应商提供的本项内容评分。</w:t>
            </w:r>
          </w:p>
        </w:tc>
      </w:tr>
      <w:tr w14:paraId="4C781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trPr>
        <w:tc>
          <w:tcPr>
            <w:tcW w:w="625" w:type="dxa"/>
            <w:noWrap w:val="0"/>
            <w:vAlign w:val="center"/>
          </w:tcPr>
          <w:p w14:paraId="62E83B8F">
            <w:pPr>
              <w:keepNext w:val="0"/>
              <w:keepLines w:val="0"/>
              <w:pageBreakBefore w:val="0"/>
              <w:spacing w:line="300" w:lineRule="exact"/>
              <w:ind w:firstLine="28"/>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2.4</w:t>
            </w:r>
          </w:p>
        </w:tc>
        <w:tc>
          <w:tcPr>
            <w:tcW w:w="1187" w:type="dxa"/>
            <w:noWrap w:val="0"/>
            <w:vAlign w:val="center"/>
          </w:tcPr>
          <w:p w14:paraId="63C659EF">
            <w:pPr>
              <w:widowControl/>
              <w:jc w:val="center"/>
              <w:rPr>
                <w:rFonts w:hint="eastAsia" w:ascii="宋体" w:hAnsi="宋体" w:eastAsia="宋体" w:cs="宋体"/>
                <w:bCs/>
                <w:sz w:val="21"/>
                <w:szCs w:val="21"/>
                <w:highlight w:val="none"/>
              </w:rPr>
            </w:pPr>
            <w:r>
              <w:rPr>
                <w:rFonts w:hint="eastAsia" w:ascii="宋体" w:hAnsi="宋体" w:cs="宋体"/>
                <w:bCs/>
                <w:sz w:val="21"/>
                <w:szCs w:val="21"/>
                <w:highlight w:val="none"/>
              </w:rPr>
              <w:t>绿化养护类-绿化补种方案</w:t>
            </w:r>
          </w:p>
        </w:tc>
        <w:tc>
          <w:tcPr>
            <w:tcW w:w="587" w:type="dxa"/>
            <w:noWrap w:val="0"/>
            <w:vAlign w:val="center"/>
          </w:tcPr>
          <w:p w14:paraId="3F4612DB">
            <w:pPr>
              <w:pStyle w:val="4"/>
              <w:keepNext w:val="0"/>
              <w:keepLines w:val="0"/>
              <w:pageBreakBefore w:val="0"/>
              <w:spacing w:after="0" w:line="320" w:lineRule="exact"/>
              <w:jc w:val="center"/>
              <w:rPr>
                <w:rFonts w:hint="default"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8</w:t>
            </w:r>
          </w:p>
        </w:tc>
        <w:tc>
          <w:tcPr>
            <w:tcW w:w="4710" w:type="dxa"/>
            <w:noWrap w:val="0"/>
            <w:vAlign w:val="center"/>
          </w:tcPr>
          <w:p w14:paraId="1EB51827">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sz w:val="21"/>
                <w:szCs w:val="21"/>
                <w:highlight w:val="none"/>
              </w:rPr>
              <w:t>有</w:t>
            </w:r>
            <w:r>
              <w:rPr>
                <w:rFonts w:hint="eastAsia" w:ascii="宋体" w:hAnsi="宋体" w:cs="宋体"/>
                <w:bCs/>
                <w:sz w:val="21"/>
                <w:szCs w:val="21"/>
                <w:highlight w:val="none"/>
              </w:rPr>
              <w:t>绿化补种可行措施（绿化补种含绿化踩踏、缺株、死株更换）。</w:t>
            </w:r>
          </w:p>
          <w:p w14:paraId="5364860C">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sz w:val="21"/>
                <w:szCs w:val="21"/>
                <w:highlight w:val="none"/>
              </w:rPr>
              <w:t>责任期内绿地内植物的小范围调整方案。</w:t>
            </w:r>
          </w:p>
          <w:p w14:paraId="32547F85">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以上养护措施要与投标标段实际情况相符，有针对性。</w:t>
            </w:r>
          </w:p>
          <w:p w14:paraId="2AC02B87">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评委根据各项描述打分，方案比较完整，具有可操作性、针对性的，得</w:t>
            </w:r>
            <w:r>
              <w:rPr>
                <w:rFonts w:hint="eastAsia" w:ascii="宋体" w:hAnsi="宋体" w:cs="宋体"/>
                <w:bCs/>
                <w:sz w:val="21"/>
                <w:szCs w:val="21"/>
                <w:highlight w:val="none"/>
                <w:lang w:val="en-US" w:eastAsia="zh-CN"/>
              </w:rPr>
              <w:t>8</w:t>
            </w:r>
            <w:r>
              <w:rPr>
                <w:rFonts w:hint="eastAsia" w:ascii="宋体" w:hAnsi="宋体" w:cs="宋体"/>
                <w:bCs/>
                <w:sz w:val="21"/>
                <w:szCs w:val="21"/>
                <w:highlight w:val="none"/>
              </w:rPr>
              <w:t>分；</w:t>
            </w:r>
          </w:p>
          <w:p w14:paraId="0BAE987F">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方案基本完整的，得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p w14:paraId="68AAC66C">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方案针对性欠缺、描述一般的，得</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分；</w:t>
            </w:r>
          </w:p>
          <w:p w14:paraId="797E0083">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rPr>
            </w:pPr>
            <w:r>
              <w:rPr>
                <w:rFonts w:hint="eastAsia" w:ascii="宋体" w:hAnsi="宋体" w:cs="宋体"/>
                <w:bCs/>
                <w:sz w:val="21"/>
                <w:szCs w:val="21"/>
                <w:highlight w:val="none"/>
              </w:rPr>
              <w:t>没有不得分。</w:t>
            </w:r>
          </w:p>
        </w:tc>
        <w:tc>
          <w:tcPr>
            <w:tcW w:w="2641" w:type="dxa"/>
            <w:noWrap w:val="0"/>
            <w:vAlign w:val="center"/>
          </w:tcPr>
          <w:p w14:paraId="0A526F86">
            <w:pPr>
              <w:keepNext w:val="0"/>
              <w:keepLines w:val="0"/>
              <w:pageBreakBefore w:val="0"/>
              <w:spacing w:line="320" w:lineRule="exact"/>
              <w:ind w:left="-3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根据响应文件中供应商提供的本项内容评分。</w:t>
            </w:r>
          </w:p>
        </w:tc>
      </w:tr>
      <w:tr w14:paraId="5370A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0" w:hRule="atLeast"/>
        </w:trPr>
        <w:tc>
          <w:tcPr>
            <w:tcW w:w="625" w:type="dxa"/>
            <w:noWrap w:val="0"/>
            <w:vAlign w:val="center"/>
          </w:tcPr>
          <w:p w14:paraId="7EF9FFA8">
            <w:pPr>
              <w:keepNext w:val="0"/>
              <w:keepLines w:val="0"/>
              <w:pageBreakBefore w:val="0"/>
              <w:spacing w:line="300" w:lineRule="exact"/>
              <w:ind w:firstLine="28"/>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2.5</w:t>
            </w:r>
          </w:p>
        </w:tc>
        <w:tc>
          <w:tcPr>
            <w:tcW w:w="1187" w:type="dxa"/>
            <w:noWrap w:val="0"/>
            <w:vAlign w:val="center"/>
          </w:tcPr>
          <w:p w14:paraId="479C8F9E">
            <w:pPr>
              <w:widowControl/>
              <w:jc w:val="center"/>
              <w:rPr>
                <w:rFonts w:hint="eastAsia" w:ascii="宋体" w:hAnsi="宋体" w:eastAsia="宋体" w:cs="宋体"/>
                <w:bCs/>
                <w:sz w:val="21"/>
                <w:szCs w:val="21"/>
                <w:highlight w:val="none"/>
              </w:rPr>
            </w:pPr>
            <w:r>
              <w:rPr>
                <w:rFonts w:hint="eastAsia" w:ascii="宋体" w:hAnsi="宋体" w:cs="宋体"/>
                <w:bCs/>
                <w:sz w:val="21"/>
                <w:szCs w:val="21"/>
                <w:highlight w:val="none"/>
              </w:rPr>
              <w:t>绿化养护类-农药施工方案</w:t>
            </w:r>
          </w:p>
        </w:tc>
        <w:tc>
          <w:tcPr>
            <w:tcW w:w="587" w:type="dxa"/>
            <w:noWrap w:val="0"/>
            <w:vAlign w:val="center"/>
          </w:tcPr>
          <w:p w14:paraId="3F3862A7">
            <w:pPr>
              <w:keepNext w:val="0"/>
              <w:keepLines w:val="0"/>
              <w:pageBreakBefore w:val="0"/>
              <w:spacing w:after="0" w:line="320" w:lineRule="exact"/>
              <w:ind w:firstLine="28"/>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4710" w:type="dxa"/>
            <w:noWrap w:val="0"/>
            <w:vAlign w:val="center"/>
          </w:tcPr>
          <w:p w14:paraId="5F1CA5DC">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sz w:val="21"/>
                <w:szCs w:val="21"/>
                <w:highlight w:val="none"/>
              </w:rPr>
            </w:pPr>
            <w:r>
              <w:rPr>
                <w:rFonts w:hint="eastAsia" w:ascii="宋体" w:hAnsi="宋体" w:cs="宋体"/>
                <w:sz w:val="21"/>
                <w:szCs w:val="21"/>
                <w:highlight w:val="none"/>
              </w:rPr>
              <w:t>有详细的全年病虫害防治计划，针对常发性病害和虫害，制定科学合理的病虫害防治月历。</w:t>
            </w:r>
          </w:p>
          <w:p w14:paraId="7A8EB141">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sz w:val="21"/>
                <w:szCs w:val="21"/>
                <w:highlight w:val="none"/>
              </w:rPr>
              <w:t>病虫害使用低毒高效农药防治措施，有采用生物防治、化学防治、物理防治相结合的手段防治病虫害实例。</w:t>
            </w:r>
          </w:p>
          <w:p w14:paraId="16560B1C">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评委根据各项描述打分，方案比较完整，具有可操作性、针对性的，得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p w14:paraId="6279C8FF">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方案基本完整的，得</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分；</w:t>
            </w:r>
          </w:p>
          <w:p w14:paraId="788CAD6E">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方案针对性欠缺、描述一般的，得</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分；</w:t>
            </w:r>
          </w:p>
          <w:p w14:paraId="7CAEA3ED">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rPr>
            </w:pPr>
            <w:r>
              <w:rPr>
                <w:rFonts w:hint="eastAsia" w:ascii="宋体" w:hAnsi="宋体" w:cs="宋体"/>
                <w:bCs/>
                <w:sz w:val="21"/>
                <w:szCs w:val="21"/>
                <w:highlight w:val="none"/>
              </w:rPr>
              <w:t>没有不得分。</w:t>
            </w:r>
          </w:p>
        </w:tc>
        <w:tc>
          <w:tcPr>
            <w:tcW w:w="2641" w:type="dxa"/>
            <w:noWrap w:val="0"/>
            <w:vAlign w:val="center"/>
          </w:tcPr>
          <w:p w14:paraId="0BF3C21A">
            <w:pPr>
              <w:keepNext w:val="0"/>
              <w:keepLines w:val="0"/>
              <w:pageBreakBefore w:val="0"/>
              <w:spacing w:line="320" w:lineRule="exact"/>
              <w:ind w:left="-3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根据响应文件中供应商提供的本项内容评分。</w:t>
            </w:r>
          </w:p>
        </w:tc>
      </w:tr>
      <w:tr w14:paraId="5CDB9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25" w:type="dxa"/>
            <w:noWrap w:val="0"/>
            <w:vAlign w:val="center"/>
          </w:tcPr>
          <w:p w14:paraId="31993434">
            <w:pPr>
              <w:keepNext w:val="0"/>
              <w:keepLines w:val="0"/>
              <w:pageBreakBefore w:val="0"/>
              <w:spacing w:line="300" w:lineRule="exact"/>
              <w:ind w:firstLine="28"/>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2.6</w:t>
            </w:r>
          </w:p>
        </w:tc>
        <w:tc>
          <w:tcPr>
            <w:tcW w:w="1187" w:type="dxa"/>
            <w:noWrap w:val="0"/>
            <w:vAlign w:val="center"/>
          </w:tcPr>
          <w:p w14:paraId="067A0D3D">
            <w:pPr>
              <w:widowControl/>
              <w:jc w:val="center"/>
              <w:rPr>
                <w:rFonts w:hint="eastAsia" w:ascii="宋体" w:hAnsi="宋体" w:eastAsia="宋体" w:cs="宋体"/>
                <w:color w:val="auto"/>
                <w:sz w:val="21"/>
                <w:szCs w:val="21"/>
                <w:highlight w:val="none"/>
              </w:rPr>
            </w:pPr>
            <w:r>
              <w:rPr>
                <w:rFonts w:hint="eastAsia" w:ascii="宋体" w:hAnsi="宋体" w:cs="宋体"/>
                <w:bCs/>
                <w:sz w:val="21"/>
                <w:szCs w:val="21"/>
                <w:highlight w:val="none"/>
              </w:rPr>
              <w:t>应急处置类-灾害性天气和突发事件应急预案</w:t>
            </w:r>
          </w:p>
        </w:tc>
        <w:tc>
          <w:tcPr>
            <w:tcW w:w="587" w:type="dxa"/>
            <w:noWrap w:val="0"/>
            <w:vAlign w:val="center"/>
          </w:tcPr>
          <w:p w14:paraId="46A98129">
            <w:pPr>
              <w:keepNext w:val="0"/>
              <w:keepLines w:val="0"/>
              <w:pageBreakBefore w:val="0"/>
              <w:spacing w:after="0" w:line="320" w:lineRule="exact"/>
              <w:ind w:firstLine="28"/>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6</w:t>
            </w:r>
          </w:p>
        </w:tc>
        <w:tc>
          <w:tcPr>
            <w:tcW w:w="4710" w:type="dxa"/>
            <w:noWrap w:val="0"/>
            <w:vAlign w:val="center"/>
          </w:tcPr>
          <w:p w14:paraId="19DA04B6">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根据道路绿地实际情况制定应急事件处理预案，含恶劣天气应急预案和及时合理抢险救灾措施等道路上可能发生的应急事件。</w:t>
            </w:r>
          </w:p>
          <w:p w14:paraId="33E459CB">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评委根据各项描述打分，方案比较完整，具有可操作性、针对性的，得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p w14:paraId="1EC6D9DA">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方案基本完整的，得</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分；</w:t>
            </w:r>
          </w:p>
          <w:p w14:paraId="62E605BB">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方案针对性欠缺、描述一般的，得</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分；</w:t>
            </w:r>
          </w:p>
          <w:p w14:paraId="24AC69D5">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Cs/>
                <w:sz w:val="21"/>
                <w:szCs w:val="21"/>
                <w:highlight w:val="none"/>
              </w:rPr>
              <w:t>没有不得分。</w:t>
            </w:r>
          </w:p>
        </w:tc>
        <w:tc>
          <w:tcPr>
            <w:tcW w:w="2641" w:type="dxa"/>
            <w:noWrap w:val="0"/>
            <w:vAlign w:val="center"/>
          </w:tcPr>
          <w:p w14:paraId="6AFEE2B7">
            <w:pPr>
              <w:keepNext w:val="0"/>
              <w:keepLines w:val="0"/>
              <w:pageBreakBefore w:val="0"/>
              <w:spacing w:line="320" w:lineRule="exact"/>
              <w:ind w:left="-38"/>
              <w:rPr>
                <w:rFonts w:hint="eastAsia"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rPr>
              <w:t>根据响应文件中供应商提供的本项内容评分。</w:t>
            </w:r>
          </w:p>
        </w:tc>
      </w:tr>
      <w:tr w14:paraId="62F85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625" w:type="dxa"/>
            <w:noWrap w:val="0"/>
            <w:vAlign w:val="center"/>
          </w:tcPr>
          <w:p w14:paraId="514FAE02">
            <w:pPr>
              <w:keepNext w:val="0"/>
              <w:keepLines w:val="0"/>
              <w:pageBreakBefore w:val="0"/>
              <w:spacing w:line="300" w:lineRule="exact"/>
              <w:ind w:firstLine="28"/>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2.7</w:t>
            </w:r>
          </w:p>
        </w:tc>
        <w:tc>
          <w:tcPr>
            <w:tcW w:w="1187" w:type="dxa"/>
            <w:noWrap w:val="0"/>
            <w:vAlign w:val="center"/>
          </w:tcPr>
          <w:p w14:paraId="413C7934">
            <w:pPr>
              <w:widowControl/>
              <w:jc w:val="center"/>
              <w:rPr>
                <w:rFonts w:hint="default" w:ascii="宋体" w:hAnsi="宋体" w:eastAsia="宋体" w:cs="宋体"/>
                <w:color w:val="auto"/>
                <w:sz w:val="21"/>
                <w:szCs w:val="21"/>
                <w:highlight w:val="none"/>
                <w:lang w:val="en-US" w:eastAsia="zh-CN"/>
              </w:rPr>
            </w:pPr>
            <w:r>
              <w:rPr>
                <w:rFonts w:hint="eastAsia" w:ascii="宋体" w:hAnsi="宋体" w:cs="宋体"/>
                <w:bCs/>
                <w:sz w:val="21"/>
                <w:szCs w:val="21"/>
                <w:highlight w:val="none"/>
              </w:rPr>
              <w:t>进退场交接方案比较</w:t>
            </w:r>
          </w:p>
        </w:tc>
        <w:tc>
          <w:tcPr>
            <w:tcW w:w="587" w:type="dxa"/>
            <w:noWrap w:val="0"/>
            <w:vAlign w:val="center"/>
          </w:tcPr>
          <w:p w14:paraId="1A5A7CC0">
            <w:pPr>
              <w:keepNext w:val="0"/>
              <w:keepLines w:val="0"/>
              <w:pageBreakBefore w:val="0"/>
              <w:widowControl/>
              <w:shd w:val="clear" w:color="auto" w:fill="auto"/>
              <w:tabs>
                <w:tab w:val="left" w:pos="1200"/>
              </w:tabs>
              <w:spacing w:after="0" w:line="320" w:lineRule="exact"/>
              <w:jc w:val="center"/>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4710" w:type="dxa"/>
            <w:noWrap w:val="0"/>
            <w:vAlign w:val="center"/>
          </w:tcPr>
          <w:p w14:paraId="2F26E841">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针对本项目的进退场交接工作保障措施方案。</w:t>
            </w:r>
          </w:p>
          <w:p w14:paraId="035C3A22">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评委根据各项描述打分，方案比较完整，具有可操作性、针对性的，得</w:t>
            </w:r>
            <w:r>
              <w:rPr>
                <w:rFonts w:hint="eastAsia" w:ascii="宋体" w:hAnsi="宋体" w:cs="宋体"/>
                <w:bCs/>
                <w:sz w:val="21"/>
                <w:szCs w:val="21"/>
                <w:highlight w:val="none"/>
                <w:lang w:val="en-US" w:eastAsia="zh-CN"/>
              </w:rPr>
              <w:t>6</w:t>
            </w:r>
            <w:r>
              <w:rPr>
                <w:rFonts w:hint="eastAsia" w:ascii="宋体" w:hAnsi="宋体" w:cs="宋体"/>
                <w:bCs/>
                <w:sz w:val="21"/>
                <w:szCs w:val="21"/>
                <w:highlight w:val="none"/>
              </w:rPr>
              <w:t>分；</w:t>
            </w:r>
          </w:p>
          <w:p w14:paraId="573657D8">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方案基本完整的，得</w:t>
            </w:r>
            <w:r>
              <w:rPr>
                <w:rFonts w:hint="eastAsia" w:ascii="宋体" w:hAnsi="宋体" w:cs="宋体"/>
                <w:bCs/>
                <w:sz w:val="21"/>
                <w:szCs w:val="21"/>
                <w:highlight w:val="none"/>
                <w:lang w:val="en-US" w:eastAsia="zh-CN"/>
              </w:rPr>
              <w:t>4</w:t>
            </w:r>
            <w:r>
              <w:rPr>
                <w:rFonts w:hint="eastAsia" w:ascii="宋体" w:hAnsi="宋体" w:cs="宋体"/>
                <w:bCs/>
                <w:sz w:val="21"/>
                <w:szCs w:val="21"/>
                <w:highlight w:val="none"/>
              </w:rPr>
              <w:t>分；</w:t>
            </w:r>
          </w:p>
          <w:p w14:paraId="6084081A">
            <w:pPr>
              <w:keepNext w:val="0"/>
              <w:keepLines w:val="0"/>
              <w:pageBreakBefore w:val="0"/>
              <w:tabs>
                <w:tab w:val="left" w:pos="5940"/>
              </w:tabs>
              <w:kinsoku/>
              <w:wordWrap/>
              <w:overflowPunct/>
              <w:topLinePunct w:val="0"/>
              <w:autoSpaceDE/>
              <w:autoSpaceDN/>
              <w:bidi w:val="0"/>
              <w:adjustRightInd/>
              <w:snapToGrid/>
              <w:spacing w:line="300" w:lineRule="exact"/>
              <w:ind w:firstLine="0"/>
              <w:textAlignment w:val="auto"/>
              <w:rPr>
                <w:rFonts w:ascii="宋体" w:hAnsi="宋体" w:cs="宋体"/>
                <w:bCs/>
                <w:sz w:val="21"/>
                <w:szCs w:val="21"/>
                <w:highlight w:val="none"/>
              </w:rPr>
            </w:pPr>
            <w:r>
              <w:rPr>
                <w:rFonts w:hint="eastAsia" w:ascii="宋体" w:hAnsi="宋体" w:cs="宋体"/>
                <w:bCs/>
                <w:sz w:val="21"/>
                <w:szCs w:val="21"/>
                <w:highlight w:val="none"/>
              </w:rPr>
              <w:t>方案针对性欠缺、描述一般的，得</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rPr>
              <w:t>分；</w:t>
            </w:r>
          </w:p>
          <w:p w14:paraId="0F522C41">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Cs/>
                <w:sz w:val="21"/>
                <w:szCs w:val="21"/>
                <w:highlight w:val="none"/>
              </w:rPr>
              <w:t>没有不得分。</w:t>
            </w:r>
          </w:p>
        </w:tc>
        <w:tc>
          <w:tcPr>
            <w:tcW w:w="2641" w:type="dxa"/>
            <w:noWrap w:val="0"/>
            <w:vAlign w:val="center"/>
          </w:tcPr>
          <w:p w14:paraId="0B667105">
            <w:pPr>
              <w:keepNext w:val="0"/>
              <w:keepLines w:val="0"/>
              <w:pageBreakBefore w:val="0"/>
              <w:spacing w:line="320" w:lineRule="exact"/>
              <w:ind w:left="-38"/>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根据响应文件中供应商提供的本项内容评分。</w:t>
            </w:r>
          </w:p>
        </w:tc>
      </w:tr>
      <w:tr w14:paraId="74699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25" w:type="dxa"/>
            <w:noWrap w:val="0"/>
            <w:vAlign w:val="center"/>
          </w:tcPr>
          <w:p w14:paraId="7F520D45">
            <w:pPr>
              <w:keepNext w:val="0"/>
              <w:keepLines w:val="0"/>
              <w:pageBreakBefore w:val="0"/>
              <w:spacing w:line="32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w:t>
            </w:r>
          </w:p>
        </w:tc>
        <w:tc>
          <w:tcPr>
            <w:tcW w:w="1187" w:type="dxa"/>
            <w:noWrap w:val="0"/>
            <w:vAlign w:val="center"/>
          </w:tcPr>
          <w:p w14:paraId="5E16F5D8">
            <w:pPr>
              <w:keepNext w:val="0"/>
              <w:keepLines w:val="0"/>
              <w:pageBreakBefore w:val="0"/>
              <w:spacing w:line="32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客观分</w:t>
            </w:r>
          </w:p>
        </w:tc>
        <w:tc>
          <w:tcPr>
            <w:tcW w:w="587" w:type="dxa"/>
            <w:noWrap w:val="0"/>
            <w:vAlign w:val="center"/>
          </w:tcPr>
          <w:p w14:paraId="50E6D5A5">
            <w:pPr>
              <w:keepNext w:val="0"/>
              <w:keepLines w:val="0"/>
              <w:pageBreakBefore w:val="0"/>
              <w:spacing w:line="320" w:lineRule="exact"/>
              <w:ind w:firstLine="28"/>
              <w:jc w:val="center"/>
              <w:rPr>
                <w:rFonts w:hint="default" w:ascii="宋体" w:hAnsi="宋体" w:eastAsia="宋体" w:cs="宋体"/>
                <w:sz w:val="21"/>
                <w:szCs w:val="21"/>
                <w:highlight w:val="none"/>
                <w:lang w:val="en-US" w:eastAsia="zh-CN"/>
              </w:rPr>
            </w:pPr>
            <w:r>
              <w:rPr>
                <w:rFonts w:hint="eastAsia" w:ascii="宋体" w:hAnsi="宋体" w:cs="宋体"/>
                <w:b/>
                <w:bCs/>
                <w:sz w:val="21"/>
                <w:szCs w:val="21"/>
                <w:highlight w:val="none"/>
                <w:lang w:val="en-US" w:eastAsia="zh-CN"/>
              </w:rPr>
              <w:t>20</w:t>
            </w:r>
          </w:p>
        </w:tc>
        <w:tc>
          <w:tcPr>
            <w:tcW w:w="4710" w:type="dxa"/>
            <w:noWrap w:val="0"/>
            <w:vAlign w:val="center"/>
          </w:tcPr>
          <w:p w14:paraId="04DEF7FA">
            <w:pPr>
              <w:keepNext w:val="0"/>
              <w:keepLines w:val="0"/>
              <w:pageBreakBefore w:val="0"/>
              <w:kinsoku/>
              <w:wordWrap/>
              <w:overflowPunct/>
              <w:topLinePunct w:val="0"/>
              <w:autoSpaceDE/>
              <w:autoSpaceDN/>
              <w:bidi w:val="0"/>
              <w:adjustRightInd/>
              <w:snapToGrid/>
              <w:spacing w:line="320" w:lineRule="exact"/>
              <w:ind w:firstLine="0"/>
              <w:textAlignment w:val="auto"/>
              <w:rPr>
                <w:rFonts w:hint="eastAsia" w:ascii="宋体" w:hAnsi="宋体" w:eastAsia="宋体" w:cs="宋体"/>
                <w:sz w:val="21"/>
                <w:szCs w:val="21"/>
                <w:highlight w:val="none"/>
                <w:lang w:val="zh-CN"/>
              </w:rPr>
            </w:pPr>
          </w:p>
        </w:tc>
        <w:tc>
          <w:tcPr>
            <w:tcW w:w="2641" w:type="dxa"/>
            <w:noWrap w:val="0"/>
            <w:vAlign w:val="center"/>
          </w:tcPr>
          <w:p w14:paraId="6DE7AC07">
            <w:pPr>
              <w:keepNext w:val="0"/>
              <w:keepLines w:val="0"/>
              <w:pageBreakBefore w:val="0"/>
              <w:spacing w:line="320" w:lineRule="exact"/>
              <w:ind w:left="-38"/>
              <w:rPr>
                <w:rFonts w:hint="eastAsia" w:ascii="宋体" w:hAnsi="宋体" w:eastAsia="宋体" w:cs="宋体"/>
                <w:sz w:val="21"/>
                <w:szCs w:val="21"/>
                <w:highlight w:val="none"/>
              </w:rPr>
            </w:pPr>
          </w:p>
        </w:tc>
      </w:tr>
      <w:tr w14:paraId="4A562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2" w:hRule="atLeast"/>
        </w:trPr>
        <w:tc>
          <w:tcPr>
            <w:tcW w:w="625" w:type="dxa"/>
            <w:noWrap w:val="0"/>
            <w:vAlign w:val="center"/>
          </w:tcPr>
          <w:p w14:paraId="6251B2F6">
            <w:pPr>
              <w:keepNext w:val="0"/>
              <w:keepLines w:val="0"/>
              <w:pageBreakBefore w:val="0"/>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p>
        </w:tc>
        <w:tc>
          <w:tcPr>
            <w:tcW w:w="1187" w:type="dxa"/>
            <w:noWrap w:val="0"/>
            <w:vAlign w:val="center"/>
          </w:tcPr>
          <w:p w14:paraId="72BD544A">
            <w:pPr>
              <w:keepNext w:val="0"/>
              <w:keepLines w:val="0"/>
              <w:pageBreakBefore w:val="0"/>
              <w:widowControl/>
              <w:shd w:val="clear" w:color="auto" w:fill="auto"/>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认证证书</w:t>
            </w:r>
          </w:p>
        </w:tc>
        <w:tc>
          <w:tcPr>
            <w:tcW w:w="587" w:type="dxa"/>
            <w:noWrap w:val="0"/>
            <w:vAlign w:val="center"/>
          </w:tcPr>
          <w:p w14:paraId="4D40B2F5">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710" w:type="dxa"/>
            <w:noWrap w:val="0"/>
            <w:vAlign w:val="center"/>
          </w:tcPr>
          <w:p w14:paraId="0343C9F8">
            <w:pPr>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供应商具有有效的质量管理体系认证证书、环境管理体系认证证书、职业健康安全管理体系认证证书的，有一项得3分，本项最高得9分。</w:t>
            </w:r>
          </w:p>
          <w:p w14:paraId="5DA4C664">
            <w:pPr>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default"/>
                <w:sz w:val="21"/>
                <w:szCs w:val="21"/>
                <w:highlight w:val="none"/>
                <w:lang w:val="en-US" w:eastAsia="zh-CN"/>
              </w:rPr>
            </w:pPr>
          </w:p>
        </w:tc>
        <w:tc>
          <w:tcPr>
            <w:tcW w:w="2641" w:type="dxa"/>
            <w:noWrap w:val="0"/>
            <w:vAlign w:val="center"/>
          </w:tcPr>
          <w:p w14:paraId="68753D3A">
            <w:pPr>
              <w:keepNext w:val="0"/>
              <w:keepLines w:val="0"/>
              <w:pageBreakBefore w:val="0"/>
              <w:spacing w:line="320" w:lineRule="exact"/>
              <w:rPr>
                <w:rFonts w:hint="eastAsia" w:ascii="宋体" w:hAnsi="宋体" w:eastAsia="宋体" w:cs="宋体"/>
                <w:b/>
                <w:bCs/>
                <w:sz w:val="21"/>
                <w:szCs w:val="21"/>
                <w:highlight w:val="none"/>
                <w:lang w:val="en-US" w:eastAsia="zh-CN"/>
              </w:rPr>
            </w:pPr>
            <w:r>
              <w:rPr>
                <w:rFonts w:hint="eastAsia" w:ascii="宋体" w:hAnsi="宋体" w:eastAsia="宋体" w:cs="宋体"/>
                <w:b/>
                <w:bCs/>
                <w:color w:val="auto"/>
                <w:sz w:val="21"/>
                <w:szCs w:val="21"/>
                <w:highlight w:val="none"/>
                <w:lang w:val="en-US" w:eastAsia="zh-CN"/>
              </w:rPr>
              <w:t>注：响应文件内提供相应证书复印件及中国国家认证认可监督管理委员会网站查询页面截图并加盖供应商公章，未提供或未按要求提供的不得分。</w:t>
            </w:r>
          </w:p>
        </w:tc>
      </w:tr>
      <w:tr w14:paraId="281E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625" w:type="dxa"/>
            <w:noWrap w:val="0"/>
            <w:vAlign w:val="center"/>
          </w:tcPr>
          <w:p w14:paraId="08E5C591">
            <w:pPr>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1187" w:type="dxa"/>
            <w:noWrap w:val="0"/>
            <w:vAlign w:val="center"/>
          </w:tcPr>
          <w:p w14:paraId="45C0603E">
            <w:pPr>
              <w:keepNext w:val="0"/>
              <w:keepLines w:val="0"/>
              <w:pageBreakBefore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车辆及设备保障</w:t>
            </w:r>
          </w:p>
        </w:tc>
        <w:tc>
          <w:tcPr>
            <w:tcW w:w="587" w:type="dxa"/>
            <w:noWrap w:val="0"/>
            <w:vAlign w:val="center"/>
          </w:tcPr>
          <w:p w14:paraId="12C39A28">
            <w:pPr>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4710" w:type="dxa"/>
            <w:noWrap w:val="0"/>
            <w:vAlign w:val="center"/>
          </w:tcPr>
          <w:p w14:paraId="17899394">
            <w:pPr>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标准式洒水车（非改装车、车辆核定载质量≥3000㎏）：有1辆得5分，最高得5分；</w:t>
            </w:r>
          </w:p>
          <w:p w14:paraId="0F635A0E">
            <w:pPr>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绿篱修剪机、有1台得3分，最高得3分；</w:t>
            </w:r>
          </w:p>
          <w:p w14:paraId="47455401">
            <w:pPr>
              <w:keepNext w:val="0"/>
              <w:keepLines w:val="0"/>
              <w:pageBreakBefore w:val="0"/>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草坪修剪机，有1台得3分，最高得3分。</w:t>
            </w:r>
          </w:p>
        </w:tc>
        <w:tc>
          <w:tcPr>
            <w:tcW w:w="2641" w:type="dxa"/>
            <w:noWrap w:val="0"/>
            <w:vAlign w:val="center"/>
          </w:tcPr>
          <w:p w14:paraId="3303DFAD">
            <w:pPr>
              <w:keepNext w:val="0"/>
              <w:keepLines w:val="0"/>
              <w:pageBreakBefore w:val="0"/>
              <w:numPr>
                <w:ilvl w:val="0"/>
                <w:numId w:val="1"/>
              </w:numPr>
              <w:spacing w:line="320" w:lineRule="exac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车辆提供车辆行驶证、车辆登记证（或租赁合同）。</w:t>
            </w:r>
          </w:p>
          <w:p w14:paraId="25A7CC0D">
            <w:pPr>
              <w:keepNext w:val="0"/>
              <w:keepLines w:val="0"/>
              <w:pageBreakBefore w:val="0"/>
              <w:numPr>
                <w:ilvl w:val="0"/>
                <w:numId w:val="1"/>
              </w:numPr>
              <w:spacing w:line="320" w:lineRule="exact"/>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设备提供购置发票（或租赁合同）。</w:t>
            </w:r>
          </w:p>
        </w:tc>
      </w:tr>
      <w:tr w14:paraId="1ABFF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812" w:type="dxa"/>
            <w:gridSpan w:val="2"/>
            <w:noWrap w:val="0"/>
            <w:vAlign w:val="center"/>
          </w:tcPr>
          <w:p w14:paraId="64415678">
            <w:pPr>
              <w:keepNext w:val="0"/>
              <w:keepLines w:val="0"/>
              <w:pageBreakBefore w:val="0"/>
              <w:spacing w:line="320" w:lineRule="exact"/>
              <w:ind w:firstLine="28"/>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合计</w:t>
            </w:r>
          </w:p>
        </w:tc>
        <w:tc>
          <w:tcPr>
            <w:tcW w:w="587" w:type="dxa"/>
            <w:noWrap w:val="0"/>
            <w:vAlign w:val="center"/>
          </w:tcPr>
          <w:p w14:paraId="3F968905">
            <w:pPr>
              <w:keepNext w:val="0"/>
              <w:keepLines w:val="0"/>
              <w:pageBreakBefore w:val="0"/>
              <w:spacing w:line="320" w:lineRule="exact"/>
              <w:jc w:val="both"/>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bCs/>
                <w:sz w:val="21"/>
                <w:szCs w:val="21"/>
                <w:highlight w:val="none"/>
                <w:lang w:val="en-US" w:eastAsia="zh-CN"/>
              </w:rPr>
              <w:t>0</w:t>
            </w:r>
            <w:r>
              <w:rPr>
                <w:rFonts w:hint="eastAsia" w:ascii="宋体" w:hAnsi="宋体" w:eastAsia="宋体" w:cs="宋体"/>
                <w:b/>
                <w:bCs/>
                <w:sz w:val="21"/>
                <w:szCs w:val="21"/>
                <w:highlight w:val="none"/>
              </w:rPr>
              <w:t>0</w:t>
            </w:r>
          </w:p>
        </w:tc>
        <w:tc>
          <w:tcPr>
            <w:tcW w:w="7351" w:type="dxa"/>
            <w:gridSpan w:val="2"/>
            <w:noWrap w:val="0"/>
            <w:vAlign w:val="center"/>
          </w:tcPr>
          <w:p w14:paraId="628009EB">
            <w:pPr>
              <w:keepNext w:val="0"/>
              <w:keepLines w:val="0"/>
              <w:pageBreakBefore w:val="0"/>
              <w:kinsoku/>
              <w:wordWrap/>
              <w:overflowPunct/>
              <w:topLinePunct w:val="0"/>
              <w:autoSpaceDE/>
              <w:autoSpaceDN/>
              <w:bidi w:val="0"/>
              <w:adjustRightInd/>
              <w:snapToGrid/>
              <w:spacing w:line="320" w:lineRule="exact"/>
              <w:ind w:firstLine="0"/>
              <w:jc w:val="left"/>
              <w:textAlignment w:val="auto"/>
              <w:rPr>
                <w:rFonts w:hint="eastAsia" w:ascii="宋体" w:hAnsi="宋体" w:eastAsia="宋体" w:cs="宋体"/>
                <w:b/>
                <w:bCs/>
                <w:sz w:val="21"/>
                <w:szCs w:val="21"/>
                <w:highlight w:val="none"/>
              </w:rPr>
            </w:pPr>
          </w:p>
        </w:tc>
      </w:tr>
    </w:tbl>
    <w:p w14:paraId="685EC0C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2783"/>
    <w:multiLevelType w:val="singleLevel"/>
    <w:tmpl w:val="812227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42C9F"/>
    <w:rsid w:val="4E142C9F"/>
    <w:rsid w:val="4F19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3"/>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customStyle="1" w:styleId="5">
    <w:name w:val="Normal_0"/>
    <w:next w:val="4"/>
    <w:qFormat/>
    <w:uiPriority w:val="0"/>
    <w:pPr>
      <w:widowControl w:val="0"/>
      <w:jc w:val="both"/>
    </w:pPr>
    <w:rPr>
      <w:rFonts w:hint="default" w:ascii="Times New Roman" w:hAnsi="Times New Roman" w:eastAsia="Times New Roman" w:cs="Times New Roman"/>
      <w:lang w:val="en-US" w:eastAsia="zh-CN" w:bidi="ar-SA"/>
    </w:rPr>
  </w:style>
  <w:style w:type="paragraph" w:customStyle="1" w:styleId="8">
    <w:name w:val="图例"/>
    <w:basedOn w:val="1"/>
    <w:autoRedefine/>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2025-06-20T01:44:00Z</dcterms:created>
  <dc:creator>拿铁</dc:creator>
  <cp:lastModifiedBy>拿铁</cp:lastModifiedBy>
  <dcterms:modified xsi:type="dcterms:W3CDTF">2025-06-20T01:44:39Z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AAFADC0E87BD4883BD3D29F1687C6EC1_11</vt:lpwstr>
  </property>
  <property fmtid="{D5CDD505-2E9C-101B-9397-08002B2CF9AE}" pid="4" name="KSOTemplateDocerSaveRecord">
    <vt:lpwstr>eyJoZGlkIjoiNTg2NmM0ZDNjN2MyZTk0NWEyNDFhNDlhMzJhOWM0YTIiLCJ1c2VySWQiOiIyMTQxOTQwNTkifQ==</vt:lpwstr>
  </property>
</Properties>
</file>