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F85C3">
      <w:pPr>
        <w:pStyle w:val="10"/>
        <w:snapToGrid w:val="0"/>
        <w:spacing w:before="0" w:after="0"/>
        <w:rPr>
          <w:rFonts w:hint="eastAsia" w:cs="宋体" w:asciiTheme="minorEastAsia" w:hAnsiTheme="minorEastAsia" w:eastAsiaTheme="minorEastAsia"/>
          <w:b/>
          <w:bCs w:val="0"/>
          <w:kern w:val="0"/>
          <w:sz w:val="28"/>
          <w:szCs w:val="28"/>
          <w:lang w:eastAsia="zh-CN"/>
        </w:rPr>
      </w:pPr>
      <w:bookmarkStart w:id="31" w:name="_GoBack"/>
      <w:r>
        <w:rPr>
          <w:rFonts w:hint="eastAsia" w:cs="宋体" w:asciiTheme="minorEastAsia" w:hAnsiTheme="minorEastAsia" w:eastAsiaTheme="minorEastAsia"/>
          <w:b/>
          <w:bCs w:val="0"/>
          <w:kern w:val="0"/>
          <w:sz w:val="28"/>
          <w:szCs w:val="28"/>
          <w:lang w:eastAsia="zh-CN"/>
        </w:rPr>
        <w:t>钟楼区存量国有资源(经营性房产)经营权有偿出让配置实施方案</w:t>
      </w:r>
    </w:p>
    <w:bookmarkEnd w:id="31"/>
    <w:p w14:paraId="7BB7766F">
      <w:pPr>
        <w:pStyle w:val="10"/>
        <w:snapToGrid w:val="0"/>
        <w:spacing w:before="0" w:after="0"/>
        <w:rPr>
          <w:rFonts w:hint="default" w:cs="宋体" w:asciiTheme="minorEastAsia" w:hAnsiTheme="minorEastAsia" w:eastAsiaTheme="minorEastAsia"/>
          <w:b/>
          <w:bCs w:val="0"/>
          <w:kern w:val="0"/>
          <w:sz w:val="28"/>
          <w:szCs w:val="28"/>
          <w:lang w:val="en-US" w:eastAsia="zh-CN"/>
        </w:rPr>
      </w:pPr>
      <w:r>
        <w:rPr>
          <w:rFonts w:hint="eastAsia" w:cs="宋体" w:asciiTheme="minorEastAsia" w:hAnsiTheme="minorEastAsia" w:eastAsiaTheme="minorEastAsia"/>
          <w:b/>
          <w:bCs w:val="0"/>
          <w:kern w:val="0"/>
          <w:sz w:val="28"/>
          <w:szCs w:val="28"/>
          <w:lang w:val="en-US" w:eastAsia="zh-CN"/>
        </w:rPr>
        <w:t>询价公告</w:t>
      </w:r>
    </w:p>
    <w:p w14:paraId="4E179A2F">
      <w:pPr>
        <w:pStyle w:val="11"/>
        <w:adjustRightInd w:val="0"/>
        <w:snapToGrid w:val="0"/>
        <w:spacing w:line="360" w:lineRule="auto"/>
        <w:rPr>
          <w:rFonts w:hint="eastAsia" w:ascii="宋体" w:hAnsi="宋体"/>
        </w:rPr>
      </w:pPr>
    </w:p>
    <w:p w14:paraId="35EF8564">
      <w:pPr>
        <w:pStyle w:val="11"/>
        <w:adjustRightInd w:val="0"/>
        <w:snapToGrid w:val="0"/>
        <w:spacing w:line="360" w:lineRule="auto"/>
        <w:rPr>
          <w:rFonts w:ascii="宋体" w:hAnsi="宋体"/>
        </w:rPr>
      </w:pPr>
      <w:r>
        <w:rPr>
          <w:rFonts w:hint="eastAsia" w:ascii="宋体" w:hAnsi="宋体"/>
        </w:rPr>
        <w:t>现进行</w:t>
      </w:r>
      <w:r>
        <w:rPr>
          <w:rFonts w:hint="eastAsia" w:ascii="宋体" w:hAnsi="宋体"/>
          <w:lang w:eastAsia="zh-CN"/>
        </w:rPr>
        <w:t>钟楼区存量国有资源(经营性房产)经营权有偿出让配置实施方案</w:t>
      </w:r>
      <w:r>
        <w:rPr>
          <w:rFonts w:hint="eastAsia" w:ascii="宋体" w:hAnsi="宋体"/>
          <w:lang w:val="en-US" w:eastAsia="zh-CN"/>
        </w:rPr>
        <w:t>配置</w:t>
      </w:r>
      <w:r>
        <w:rPr>
          <w:rFonts w:hint="eastAsia" w:ascii="宋体" w:hAnsi="宋体"/>
          <w:lang w:eastAsia="zh-CN"/>
        </w:rPr>
        <w:t>实施方案</w:t>
      </w:r>
      <w:r>
        <w:rPr>
          <w:rFonts w:hint="eastAsia" w:ascii="宋体" w:hAnsi="宋体"/>
        </w:rPr>
        <w:t>的招标，具体要求如下：</w:t>
      </w:r>
    </w:p>
    <w:p w14:paraId="04E266C3">
      <w:pPr>
        <w:pStyle w:val="11"/>
        <w:adjustRightInd w:val="0"/>
        <w:snapToGrid w:val="0"/>
        <w:spacing w:line="360" w:lineRule="auto"/>
        <w:ind w:firstLine="0" w:firstLineChars="0"/>
        <w:rPr>
          <w:rFonts w:asciiTheme="minorEastAsia" w:hAnsiTheme="minorEastAsia" w:eastAsiaTheme="minorEastAsia"/>
          <w:b/>
          <w:szCs w:val="21"/>
        </w:rPr>
      </w:pPr>
      <w:bookmarkStart w:id="0" w:name="_Toc390271863"/>
      <w:bookmarkStart w:id="1" w:name="_Toc447188664"/>
      <w:bookmarkStart w:id="2" w:name="_Toc447265499"/>
      <w:bookmarkStart w:id="3" w:name="_Toc447265213"/>
      <w:r>
        <w:rPr>
          <w:rFonts w:hint="eastAsia" w:asciiTheme="minorEastAsia" w:hAnsiTheme="minorEastAsia" w:eastAsiaTheme="minorEastAsia"/>
          <w:b/>
          <w:szCs w:val="21"/>
        </w:rPr>
        <w:t>1.项目概况与采购内容</w:t>
      </w:r>
    </w:p>
    <w:p w14:paraId="4ED8FADE">
      <w:pPr>
        <w:pStyle w:val="11"/>
        <w:adjustRightInd w:val="0"/>
        <w:snapToGrid w:val="0"/>
        <w:spacing w:line="360" w:lineRule="auto"/>
        <w:ind w:firstLine="424" w:firstLineChars="202"/>
        <w:rPr>
          <w:rFonts w:hint="eastAsia" w:asciiTheme="minorEastAsia" w:hAnsiTheme="minorEastAsia" w:eastAsiaTheme="minorEastAsia"/>
          <w:szCs w:val="21"/>
          <w:lang w:eastAsia="zh-CN"/>
        </w:rPr>
      </w:pPr>
      <w:r>
        <w:rPr>
          <w:rFonts w:hint="eastAsia" w:asciiTheme="minorEastAsia" w:hAnsiTheme="minorEastAsia" w:eastAsiaTheme="minorEastAsia"/>
          <w:szCs w:val="21"/>
        </w:rPr>
        <w:t>1.1采购内容：</w:t>
      </w:r>
      <w:r>
        <w:rPr>
          <w:rFonts w:hint="eastAsia" w:asciiTheme="minorEastAsia" w:hAnsiTheme="minorEastAsia" w:eastAsiaTheme="minorEastAsia"/>
          <w:szCs w:val="21"/>
          <w:lang w:val="en-US"/>
        </w:rPr>
        <w:t>结合</w:t>
      </w:r>
      <w:r>
        <w:rPr>
          <w:rFonts w:hint="eastAsia" w:asciiTheme="minorEastAsia" w:hAnsiTheme="minorEastAsia" w:eastAsiaTheme="minorEastAsia"/>
          <w:szCs w:val="21"/>
          <w:lang w:val="en-US" w:eastAsia="zh-CN"/>
        </w:rPr>
        <w:t>钟楼区</w:t>
      </w:r>
      <w:r>
        <w:rPr>
          <w:rFonts w:hint="eastAsia" w:asciiTheme="minorEastAsia" w:hAnsiTheme="minorEastAsia" w:eastAsiaTheme="minorEastAsia"/>
          <w:szCs w:val="21"/>
          <w:lang w:val="en-US"/>
        </w:rPr>
        <w:t>的实际情况，结合相关规划与管理规定，以促进各类资源资产保值增值、进一步高效使用</w:t>
      </w:r>
      <w:r>
        <w:rPr>
          <w:rFonts w:hint="eastAsia" w:asciiTheme="minorEastAsia" w:hAnsiTheme="minorEastAsia" w:eastAsiaTheme="minorEastAsia"/>
          <w:szCs w:val="21"/>
          <w:lang w:val="en-US" w:eastAsia="zh-CN"/>
        </w:rPr>
        <w:t>国有资源</w:t>
      </w:r>
      <w:r>
        <w:rPr>
          <w:rFonts w:hint="eastAsia" w:asciiTheme="minorEastAsia" w:hAnsiTheme="minorEastAsia" w:eastAsiaTheme="minorEastAsia"/>
          <w:szCs w:val="21"/>
          <w:lang w:val="en-US"/>
        </w:rPr>
        <w:t>为目标，系统梳理</w:t>
      </w:r>
      <w:r>
        <w:rPr>
          <w:rFonts w:hint="eastAsia" w:asciiTheme="minorEastAsia" w:hAnsiTheme="minorEastAsia" w:eastAsiaTheme="minorEastAsia"/>
          <w:szCs w:val="21"/>
          <w:lang w:val="en-US" w:eastAsia="zh-CN"/>
        </w:rPr>
        <w:t>钟楼区</w:t>
      </w:r>
      <w:r>
        <w:rPr>
          <w:rFonts w:hint="eastAsia" w:asciiTheme="minorEastAsia" w:hAnsiTheme="minorEastAsia" w:eastAsiaTheme="minorEastAsia"/>
          <w:szCs w:val="21"/>
          <w:lang w:val="en-US"/>
        </w:rPr>
        <w:t>所有</w:t>
      </w:r>
      <w:r>
        <w:rPr>
          <w:rFonts w:hint="eastAsia" w:asciiTheme="minorEastAsia" w:hAnsiTheme="minorEastAsia" w:eastAsiaTheme="minorEastAsia"/>
          <w:szCs w:val="21"/>
          <w:lang w:val="en-US" w:eastAsia="zh-CN"/>
        </w:rPr>
        <w:t>存量国有资源</w:t>
      </w:r>
      <w:r>
        <w:rPr>
          <w:rFonts w:hint="eastAsia" w:asciiTheme="minorEastAsia" w:hAnsiTheme="minorEastAsia" w:eastAsiaTheme="minorEastAsia"/>
          <w:szCs w:val="21"/>
          <w:lang w:val="en-US"/>
        </w:rPr>
        <w:t>落位情况、分布特征和价值潜力，并提出各类</w:t>
      </w:r>
      <w:r>
        <w:rPr>
          <w:rFonts w:hint="eastAsia" w:asciiTheme="minorEastAsia" w:hAnsiTheme="minorEastAsia" w:eastAsiaTheme="minorEastAsia"/>
          <w:szCs w:val="21"/>
          <w:lang w:val="en-US" w:eastAsia="zh-CN"/>
        </w:rPr>
        <w:t>存量国有资源</w:t>
      </w:r>
      <w:r>
        <w:rPr>
          <w:rFonts w:hint="eastAsia" w:asciiTheme="minorEastAsia" w:hAnsiTheme="minorEastAsia" w:eastAsiaTheme="minorEastAsia"/>
          <w:szCs w:val="21"/>
          <w:lang w:val="en-US"/>
        </w:rPr>
        <w:t>优化提升的策略，编制形成《</w:t>
      </w:r>
      <w:r>
        <w:rPr>
          <w:rFonts w:hint="eastAsia" w:asciiTheme="minorEastAsia" w:hAnsiTheme="minorEastAsia" w:eastAsiaTheme="minorEastAsia"/>
          <w:szCs w:val="21"/>
          <w:lang w:val="en-US" w:eastAsia="zh-CN"/>
        </w:rPr>
        <w:t>钟楼区存量国有资源（经营性房产）经营权价值</w:t>
      </w:r>
      <w:r>
        <w:rPr>
          <w:rFonts w:hint="eastAsia" w:asciiTheme="minorEastAsia" w:hAnsiTheme="minorEastAsia" w:eastAsiaTheme="minorEastAsia"/>
          <w:szCs w:val="21"/>
          <w:lang w:val="en-US"/>
        </w:rPr>
        <w:t>配置方案》文本。结合相关机构出具的可研方案与评估报告，汇总形成《</w:t>
      </w:r>
      <w:r>
        <w:rPr>
          <w:rFonts w:hint="eastAsia" w:asciiTheme="minorEastAsia" w:hAnsiTheme="minorEastAsia" w:eastAsiaTheme="minorEastAsia"/>
          <w:szCs w:val="21"/>
          <w:lang w:val="en-US" w:eastAsia="zh-CN"/>
        </w:rPr>
        <w:t>钟楼区存量国有资源（经营性房产）经营权价值实施</w:t>
      </w:r>
      <w:r>
        <w:rPr>
          <w:rFonts w:hint="eastAsia" w:asciiTheme="minorEastAsia" w:hAnsiTheme="minorEastAsia" w:eastAsiaTheme="minorEastAsia"/>
          <w:szCs w:val="21"/>
          <w:lang w:val="en-US"/>
        </w:rPr>
        <w:t>方案》</w:t>
      </w:r>
      <w:r>
        <w:rPr>
          <w:rFonts w:hint="eastAsia" w:asciiTheme="minorEastAsia" w:hAnsiTheme="minorEastAsia" w:eastAsiaTheme="minorEastAsia"/>
          <w:szCs w:val="21"/>
          <w:lang w:val="en-US" w:eastAsia="zh-CN"/>
        </w:rPr>
        <w:t>。</w:t>
      </w:r>
    </w:p>
    <w:p w14:paraId="4D7E15EA">
      <w:pPr>
        <w:pStyle w:val="11"/>
        <w:adjustRightInd w:val="0"/>
        <w:snapToGrid w:val="0"/>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1.2</w:t>
      </w:r>
      <w:r>
        <w:rPr>
          <w:rFonts w:hint="eastAsia" w:ascii="宋体" w:hAnsi="宋体" w:cs="宋体"/>
          <w:szCs w:val="21"/>
        </w:rPr>
        <w:t>服务期</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天。</w:t>
      </w:r>
    </w:p>
    <w:p w14:paraId="4375EFEC">
      <w:pPr>
        <w:pStyle w:val="11"/>
        <w:adjustRightInd w:val="0"/>
        <w:snapToGrid w:val="0"/>
        <w:spacing w:line="360" w:lineRule="auto"/>
        <w:ind w:firstLine="424" w:firstLineChars="202"/>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本项目设置含税总价最高限</w:t>
      </w:r>
      <w:r>
        <w:rPr>
          <w:rFonts w:hint="eastAsia" w:asciiTheme="minorEastAsia" w:hAnsiTheme="minorEastAsia" w:eastAsiaTheme="minorEastAsia"/>
          <w:szCs w:val="21"/>
          <w:highlight w:val="none"/>
        </w:rPr>
        <w:t>价</w:t>
      </w:r>
      <w:r>
        <w:rPr>
          <w:rFonts w:hint="eastAsia" w:asciiTheme="minorEastAsia" w:hAnsiTheme="minorEastAsia" w:eastAsiaTheme="minorEastAsia"/>
          <w:szCs w:val="21"/>
          <w:highlight w:val="none"/>
          <w:lang w:val="en-US" w:eastAsia="zh-CN"/>
        </w:rPr>
        <w:t>29</w:t>
      </w:r>
      <w:r>
        <w:rPr>
          <w:rFonts w:hint="eastAsia" w:asciiTheme="minorEastAsia" w:hAnsiTheme="minorEastAsia" w:eastAsiaTheme="minorEastAsia"/>
          <w:szCs w:val="21"/>
          <w:highlight w:val="none"/>
        </w:rPr>
        <w:t>万元，</w:t>
      </w:r>
      <w:r>
        <w:rPr>
          <w:rFonts w:hint="eastAsia" w:asciiTheme="minorEastAsia" w:hAnsiTheme="minorEastAsia" w:eastAsiaTheme="minorEastAsia"/>
          <w:szCs w:val="21"/>
        </w:rPr>
        <w:t>供应商含税总价报价高于含税总价最高限价的，其应答将被否决。</w:t>
      </w:r>
    </w:p>
    <w:p w14:paraId="5CAAB70B">
      <w:pPr>
        <w:pStyle w:val="11"/>
        <w:adjustRightInd w:val="0"/>
        <w:snapToGrid w:val="0"/>
        <w:spacing w:line="360" w:lineRule="auto"/>
        <w:ind w:firstLine="424" w:firstLineChars="202"/>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1.4成果要求：形成</w:t>
      </w:r>
      <w:r>
        <w:rPr>
          <w:rFonts w:hint="eastAsia" w:asciiTheme="minorEastAsia" w:hAnsiTheme="minorEastAsia" w:eastAsiaTheme="minorEastAsia"/>
          <w:szCs w:val="21"/>
          <w:lang w:val="en-US"/>
        </w:rPr>
        <w:t>《</w:t>
      </w:r>
      <w:r>
        <w:rPr>
          <w:rFonts w:hint="eastAsia" w:asciiTheme="minorEastAsia" w:hAnsiTheme="minorEastAsia" w:eastAsiaTheme="minorEastAsia"/>
          <w:szCs w:val="21"/>
          <w:lang w:val="en-US" w:eastAsia="zh-CN"/>
        </w:rPr>
        <w:t>钟楼区存量国有资源（经营性房产）经营权价值</w:t>
      </w:r>
      <w:r>
        <w:rPr>
          <w:rFonts w:hint="eastAsia" w:asciiTheme="minorEastAsia" w:hAnsiTheme="minorEastAsia" w:eastAsiaTheme="minorEastAsia"/>
          <w:szCs w:val="21"/>
          <w:lang w:val="en-US"/>
        </w:rPr>
        <w:t>配置方案》</w:t>
      </w:r>
      <w:r>
        <w:rPr>
          <w:rFonts w:hint="eastAsia" w:asciiTheme="minorEastAsia" w:hAnsiTheme="minorEastAsia" w:eastAsiaTheme="minorEastAsia"/>
          <w:szCs w:val="21"/>
          <w:lang w:val="en-US" w:eastAsia="zh-CN"/>
        </w:rPr>
        <w:t>和</w:t>
      </w:r>
      <w:r>
        <w:rPr>
          <w:rFonts w:hint="eastAsia" w:asciiTheme="minorEastAsia" w:hAnsiTheme="minorEastAsia" w:eastAsiaTheme="minorEastAsia"/>
          <w:szCs w:val="21"/>
          <w:lang w:val="en-US"/>
        </w:rPr>
        <w:t>《</w:t>
      </w:r>
      <w:r>
        <w:rPr>
          <w:rFonts w:hint="eastAsia" w:asciiTheme="minorEastAsia" w:hAnsiTheme="minorEastAsia" w:eastAsiaTheme="minorEastAsia"/>
          <w:szCs w:val="21"/>
          <w:lang w:val="en-US" w:eastAsia="zh-CN"/>
        </w:rPr>
        <w:t>钟楼区存量国有资源（经营性房产）经营权价值实施</w:t>
      </w:r>
      <w:r>
        <w:rPr>
          <w:rFonts w:hint="eastAsia" w:asciiTheme="minorEastAsia" w:hAnsiTheme="minorEastAsia" w:eastAsiaTheme="minorEastAsia"/>
          <w:szCs w:val="21"/>
          <w:lang w:val="en-US"/>
        </w:rPr>
        <w:t>方案》</w:t>
      </w:r>
      <w:r>
        <w:rPr>
          <w:rFonts w:hint="eastAsia" w:asciiTheme="minorEastAsia" w:hAnsiTheme="minorEastAsia" w:eastAsiaTheme="minorEastAsia"/>
          <w:szCs w:val="21"/>
          <w:lang w:val="en-US" w:eastAsia="zh-CN"/>
        </w:rPr>
        <w:t>。纸质成果打印3份，采用A4纸装订成册，电子成果1份，以U盘形式提供。</w:t>
      </w:r>
    </w:p>
    <w:p w14:paraId="4C031082">
      <w:pPr>
        <w:pStyle w:val="11"/>
        <w:adjustRightInd w:val="0"/>
        <w:snapToGrid w:val="0"/>
        <w:spacing w:line="360" w:lineRule="auto"/>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2.供应商资格要求</w:t>
      </w:r>
    </w:p>
    <w:p w14:paraId="77EB6C1E">
      <w:pPr>
        <w:spacing w:line="360" w:lineRule="auto"/>
        <w:ind w:firstLine="420" w:firstLineChars="200"/>
        <w:rPr>
          <w:rFonts w:ascii="宋体" w:hAnsi="宋体" w:cs="宋体"/>
          <w:b/>
          <w:bCs/>
          <w:szCs w:val="21"/>
        </w:rPr>
      </w:pPr>
      <w:r>
        <w:rPr>
          <w:rFonts w:hint="eastAsia" w:ascii="宋体" w:hAnsi="宋体" w:cs="宋体"/>
          <w:szCs w:val="21"/>
        </w:rPr>
        <w:t>2.1供应商营业执照副本</w:t>
      </w:r>
    </w:p>
    <w:p w14:paraId="6D2CC0BE">
      <w:pPr>
        <w:spacing w:line="360" w:lineRule="auto"/>
        <w:ind w:firstLine="420" w:firstLineChars="200"/>
        <w:rPr>
          <w:rFonts w:ascii="宋体" w:hAnsi="宋体" w:cs="宋体"/>
          <w:szCs w:val="21"/>
        </w:rPr>
      </w:pPr>
      <w:r>
        <w:rPr>
          <w:rFonts w:hint="eastAsia" w:ascii="宋体" w:hAnsi="宋体" w:cs="宋体"/>
          <w:szCs w:val="21"/>
        </w:rPr>
        <w:t>2.2供应商须能够开具满足采购人需要的增值税专用发票；</w:t>
      </w:r>
    </w:p>
    <w:p w14:paraId="5F698DF8">
      <w:pPr>
        <w:spacing w:line="360" w:lineRule="auto"/>
        <w:ind w:firstLine="420" w:firstLineChars="200"/>
        <w:rPr>
          <w:rFonts w:ascii="宋体" w:hAnsi="宋体" w:cs="宋体"/>
          <w:b/>
          <w:bCs/>
          <w:szCs w:val="21"/>
        </w:rPr>
      </w:pPr>
      <w:r>
        <w:rPr>
          <w:rFonts w:hint="eastAsia" w:ascii="宋体" w:hAnsi="宋体" w:cs="宋体"/>
          <w:szCs w:val="21"/>
        </w:rPr>
        <w:t>2.3供应商不得存在下列情形之一</w:t>
      </w:r>
    </w:p>
    <w:p w14:paraId="23474314">
      <w:pPr>
        <w:snapToGrid w:val="0"/>
        <w:spacing w:line="360" w:lineRule="auto"/>
        <w:ind w:left="426"/>
        <w:rPr>
          <w:rFonts w:ascii="宋体" w:hAnsi="宋体"/>
          <w:spacing w:val="2"/>
          <w:szCs w:val="21"/>
        </w:rPr>
      </w:pPr>
      <w:r>
        <w:rPr>
          <w:rFonts w:hint="eastAsia" w:ascii="宋体" w:hAnsi="宋体"/>
          <w:spacing w:val="2"/>
          <w:szCs w:val="21"/>
        </w:rPr>
        <w:t xml:space="preserve">（1）被责令停业的； </w:t>
      </w:r>
    </w:p>
    <w:p w14:paraId="4D8D6313">
      <w:pPr>
        <w:snapToGrid w:val="0"/>
        <w:spacing w:line="360" w:lineRule="auto"/>
        <w:ind w:left="426"/>
        <w:rPr>
          <w:rFonts w:ascii="宋体" w:hAnsi="宋体"/>
          <w:spacing w:val="2"/>
          <w:szCs w:val="21"/>
        </w:rPr>
      </w:pPr>
      <w:r>
        <w:rPr>
          <w:rFonts w:hint="eastAsia" w:ascii="宋体" w:hAnsi="宋体"/>
          <w:spacing w:val="2"/>
          <w:szCs w:val="21"/>
        </w:rPr>
        <w:t xml:space="preserve">（2）被暂停或者取消响应资格的； </w:t>
      </w:r>
    </w:p>
    <w:p w14:paraId="5E9538EA">
      <w:pPr>
        <w:snapToGrid w:val="0"/>
        <w:spacing w:line="360" w:lineRule="auto"/>
        <w:ind w:left="426"/>
        <w:rPr>
          <w:rFonts w:ascii="宋体" w:hAnsi="宋体"/>
          <w:spacing w:val="2"/>
          <w:szCs w:val="21"/>
        </w:rPr>
      </w:pPr>
      <w:r>
        <w:rPr>
          <w:rFonts w:hint="eastAsia" w:ascii="宋体" w:hAnsi="宋体"/>
          <w:spacing w:val="2"/>
          <w:szCs w:val="21"/>
        </w:rPr>
        <w:t>（3）财产被接管或者冻结的；</w:t>
      </w:r>
    </w:p>
    <w:p w14:paraId="6043223B">
      <w:pPr>
        <w:snapToGrid w:val="0"/>
        <w:spacing w:line="360" w:lineRule="auto"/>
        <w:ind w:left="426"/>
        <w:rPr>
          <w:rFonts w:ascii="宋体" w:hAnsi="宋体"/>
          <w:spacing w:val="2"/>
          <w:szCs w:val="21"/>
        </w:rPr>
      </w:pPr>
      <w:r>
        <w:rPr>
          <w:rFonts w:hint="eastAsia" w:ascii="宋体" w:hAnsi="宋体"/>
          <w:spacing w:val="2"/>
          <w:szCs w:val="21"/>
        </w:rPr>
        <w:t>（4）在最近三年内有骗取中标、严重违约、重大工程质量或者安全问题的；</w:t>
      </w:r>
    </w:p>
    <w:p w14:paraId="0A602E13">
      <w:pPr>
        <w:snapToGrid w:val="0"/>
        <w:spacing w:line="360" w:lineRule="auto"/>
        <w:ind w:left="426"/>
        <w:rPr>
          <w:rFonts w:ascii="宋体" w:hAnsi="宋体"/>
          <w:spacing w:val="2"/>
          <w:szCs w:val="21"/>
        </w:rPr>
      </w:pPr>
      <w:r>
        <w:rPr>
          <w:rFonts w:hint="eastAsia" w:ascii="宋体" w:hAnsi="宋体"/>
          <w:spacing w:val="2"/>
          <w:szCs w:val="21"/>
        </w:rPr>
        <w:t>（5）在与采购人合作过程中出现过重大问题且尚未妥善解决的</w:t>
      </w:r>
    </w:p>
    <w:p w14:paraId="0B00083A">
      <w:pPr>
        <w:snapToGrid w:val="0"/>
        <w:spacing w:line="360" w:lineRule="auto"/>
        <w:ind w:left="426"/>
        <w:rPr>
          <w:rFonts w:ascii="宋体" w:hAnsi="宋体"/>
          <w:spacing w:val="2"/>
          <w:szCs w:val="21"/>
        </w:rPr>
      </w:pPr>
      <w:r>
        <w:rPr>
          <w:rFonts w:hint="eastAsia" w:ascii="宋体" w:hAnsi="宋体"/>
          <w:spacing w:val="2"/>
          <w:szCs w:val="21"/>
        </w:rPr>
        <w:t>（6）供应商或响应产品在采购人服务过程中出现过安全事故或重大质量问题，至今尚未妥善解决的；</w:t>
      </w:r>
    </w:p>
    <w:p w14:paraId="291944F4">
      <w:pPr>
        <w:snapToGrid w:val="0"/>
        <w:spacing w:line="360" w:lineRule="auto"/>
        <w:ind w:left="426"/>
        <w:rPr>
          <w:rFonts w:ascii="宋体" w:hAnsi="宋体"/>
          <w:spacing w:val="2"/>
          <w:szCs w:val="21"/>
        </w:rPr>
      </w:pPr>
      <w:r>
        <w:rPr>
          <w:rFonts w:hint="eastAsia" w:ascii="宋体" w:hAnsi="宋体"/>
          <w:spacing w:val="2"/>
          <w:szCs w:val="21"/>
        </w:rPr>
        <w:t>（7）公司或企业的股东或法定代表人有采购人中层及以上干部或其近亲属(含退休、离职不满三年的)；</w:t>
      </w:r>
    </w:p>
    <w:p w14:paraId="092C6F8B">
      <w:pPr>
        <w:snapToGrid w:val="0"/>
        <w:spacing w:line="360" w:lineRule="auto"/>
        <w:ind w:left="426"/>
        <w:rPr>
          <w:rFonts w:ascii="宋体" w:hAnsi="宋体"/>
          <w:spacing w:val="2"/>
          <w:szCs w:val="21"/>
        </w:rPr>
      </w:pPr>
      <w:r>
        <w:rPr>
          <w:rFonts w:hint="eastAsia" w:ascii="宋体" w:hAnsi="宋体"/>
          <w:spacing w:val="2"/>
          <w:szCs w:val="21"/>
        </w:rPr>
        <w:t>（8）供应商在最近五年内参与的采购活动中有行贿犯罪记录的；</w:t>
      </w:r>
    </w:p>
    <w:p w14:paraId="4486C9CA">
      <w:pPr>
        <w:snapToGrid w:val="0"/>
        <w:spacing w:line="360" w:lineRule="auto"/>
        <w:ind w:left="426"/>
        <w:rPr>
          <w:rFonts w:ascii="宋体" w:hAnsi="宋体"/>
          <w:spacing w:val="2"/>
          <w:szCs w:val="21"/>
        </w:rPr>
      </w:pPr>
      <w:r>
        <w:rPr>
          <w:rFonts w:hint="eastAsia" w:ascii="宋体" w:hAnsi="宋体"/>
          <w:spacing w:val="2"/>
          <w:szCs w:val="21"/>
        </w:rPr>
        <w:t>（9）法律法规规定的其他情形。</w:t>
      </w:r>
    </w:p>
    <w:p w14:paraId="4C28EEEA">
      <w:pPr>
        <w:spacing w:line="360" w:lineRule="auto"/>
        <w:ind w:firstLine="428" w:firstLineChars="200"/>
        <w:rPr>
          <w:rFonts w:ascii="宋体" w:hAnsi="宋体" w:cs="宋体"/>
          <w:szCs w:val="21"/>
        </w:rPr>
      </w:pPr>
      <w:r>
        <w:rPr>
          <w:rFonts w:hint="eastAsia" w:ascii="宋体" w:hAnsi="宋体"/>
          <w:spacing w:val="2"/>
          <w:szCs w:val="21"/>
        </w:rPr>
        <w:t>2.4</w:t>
      </w:r>
      <w:r>
        <w:rPr>
          <w:rFonts w:ascii="宋体" w:hAnsi="宋体" w:cs="宋体"/>
          <w:szCs w:val="21"/>
        </w:rPr>
        <w:t>单位负责人为同一人或者存在控股、管理关系的不同单位，不得同时参加同一分包或者未划分分包的同一项目。</w:t>
      </w:r>
    </w:p>
    <w:p w14:paraId="66C5F794">
      <w:pPr>
        <w:spacing w:line="360" w:lineRule="auto"/>
        <w:ind w:firstLine="420" w:firstLineChars="200"/>
        <w:rPr>
          <w:rFonts w:ascii="宋体" w:hAnsi="宋体" w:cs="宋体"/>
          <w:szCs w:val="21"/>
        </w:rPr>
      </w:pPr>
      <w:r>
        <w:rPr>
          <w:rFonts w:hint="eastAsia" w:ascii="宋体" w:hAnsi="宋体" w:cs="宋体"/>
          <w:szCs w:val="21"/>
        </w:rPr>
        <w:t>2.5本项目不接受联合体应答。</w:t>
      </w:r>
    </w:p>
    <w:p w14:paraId="5C72DDEC">
      <w:pPr>
        <w:rPr>
          <w:rFonts w:ascii="宋体" w:hAnsi="宋体" w:cs="宋体"/>
          <w:szCs w:val="21"/>
        </w:rPr>
      </w:pPr>
      <w:r>
        <w:rPr>
          <w:rFonts w:hint="eastAsia" w:ascii="宋体" w:hAnsi="宋体" w:cs="宋体"/>
          <w:szCs w:val="21"/>
        </w:rPr>
        <w:t>2.6</w:t>
      </w:r>
      <w:r>
        <w:rPr>
          <w:rFonts w:hint="eastAsia"/>
          <w:lang w:val="en-US"/>
        </w:rPr>
        <w:t>供应商具有有效期内的城乡规划编制乙级及以上资质。</w:t>
      </w:r>
    </w:p>
    <w:p w14:paraId="031411F0">
      <w:pPr>
        <w:spacing w:line="500" w:lineRule="exact"/>
        <w:rPr>
          <w:rFonts w:ascii="宋体" w:hAnsi="宋体" w:cs="宋体"/>
          <w:szCs w:val="21"/>
        </w:rPr>
      </w:pPr>
      <w:r>
        <w:rPr>
          <w:rFonts w:hint="eastAsia" w:asciiTheme="minorEastAsia" w:hAnsiTheme="minorEastAsia" w:eastAsiaTheme="minorEastAsia"/>
          <w:b/>
          <w:szCs w:val="21"/>
        </w:rPr>
        <w:t>3.</w:t>
      </w:r>
      <w:r>
        <w:rPr>
          <w:rFonts w:hint="eastAsia" w:ascii="宋体" w:hAnsi="宋体" w:cs="宋体"/>
          <w:b/>
          <w:szCs w:val="21"/>
        </w:rPr>
        <w:t>报价文件的编制应包括下列内容：</w:t>
      </w:r>
    </w:p>
    <w:p w14:paraId="494518C5">
      <w:pPr>
        <w:spacing w:line="500" w:lineRule="exact"/>
        <w:ind w:firstLine="420" w:firstLineChars="200"/>
        <w:rPr>
          <w:rFonts w:ascii="宋体" w:hAnsi="宋体" w:cs="宋体"/>
          <w:szCs w:val="21"/>
        </w:rPr>
      </w:pPr>
      <w:r>
        <w:rPr>
          <w:rFonts w:hint="eastAsia" w:ascii="宋体" w:hAnsi="宋体" w:cs="宋体"/>
          <w:szCs w:val="21"/>
        </w:rPr>
        <w:t>3.1、法定代表人身份证明及法人身份证复印件</w:t>
      </w:r>
    </w:p>
    <w:p w14:paraId="5C3C4DC1">
      <w:pPr>
        <w:spacing w:line="500" w:lineRule="exact"/>
        <w:ind w:firstLine="420" w:firstLineChars="200"/>
        <w:rPr>
          <w:rFonts w:ascii="宋体" w:hAnsi="宋体" w:cs="宋体"/>
          <w:szCs w:val="21"/>
        </w:rPr>
      </w:pPr>
      <w:r>
        <w:rPr>
          <w:rFonts w:hint="eastAsia" w:ascii="宋体" w:hAnsi="宋体" w:cs="宋体"/>
          <w:szCs w:val="21"/>
        </w:rPr>
        <w:t>3.2、法定代表人授权委托书及代理人身份证复印件</w:t>
      </w:r>
    </w:p>
    <w:p w14:paraId="109EF862">
      <w:pPr>
        <w:spacing w:line="500" w:lineRule="exact"/>
        <w:ind w:firstLine="420" w:firstLineChars="200"/>
        <w:rPr>
          <w:rFonts w:ascii="宋体" w:hAnsi="宋体" w:cs="宋体"/>
          <w:szCs w:val="21"/>
        </w:rPr>
      </w:pPr>
      <w:r>
        <w:rPr>
          <w:rFonts w:hint="eastAsia" w:ascii="宋体" w:hAnsi="宋体" w:cs="宋体"/>
          <w:szCs w:val="21"/>
        </w:rPr>
        <w:t>3.3、报价一览表</w:t>
      </w:r>
    </w:p>
    <w:p w14:paraId="7552F73B">
      <w:pPr>
        <w:spacing w:line="500" w:lineRule="exact"/>
        <w:ind w:firstLine="420" w:firstLineChars="200"/>
        <w:rPr>
          <w:rFonts w:ascii="宋体" w:hAnsi="宋体" w:cs="宋体"/>
          <w:szCs w:val="21"/>
        </w:rPr>
      </w:pPr>
      <w:r>
        <w:rPr>
          <w:rFonts w:hint="eastAsia" w:ascii="宋体" w:hAnsi="宋体" w:cs="宋体"/>
          <w:szCs w:val="21"/>
        </w:rPr>
        <w:t>3.4、企业营业执照副本</w:t>
      </w:r>
    </w:p>
    <w:p w14:paraId="0218F817">
      <w:pPr>
        <w:spacing w:line="500" w:lineRule="exact"/>
        <w:ind w:firstLine="420" w:firstLineChars="200"/>
        <w:rPr>
          <w:rFonts w:ascii="宋体" w:hAnsi="宋体" w:cs="宋体"/>
          <w:szCs w:val="21"/>
        </w:rPr>
      </w:pPr>
      <w:r>
        <w:rPr>
          <w:rFonts w:hint="eastAsia" w:ascii="宋体" w:hAnsi="宋体" w:cs="宋体"/>
          <w:szCs w:val="21"/>
        </w:rPr>
        <w:t>3.5、</w:t>
      </w:r>
      <w:r>
        <w:rPr>
          <w:rFonts w:hint="eastAsia"/>
          <w:lang w:val="en-US"/>
        </w:rPr>
        <w:t>供应商具有有效期内的城乡规划编制乙级及以上资质。</w:t>
      </w:r>
    </w:p>
    <w:p w14:paraId="0E2DFF71">
      <w:pPr>
        <w:pStyle w:val="12"/>
        <w:spacing w:line="360" w:lineRule="exact"/>
        <w:rPr>
          <w:rFonts w:asciiTheme="minorEastAsia" w:hAnsiTheme="minorEastAsia" w:eastAsiaTheme="minorEastAsia"/>
          <w:b/>
          <w:szCs w:val="21"/>
        </w:rPr>
      </w:pPr>
      <w:r>
        <w:rPr>
          <w:rFonts w:hint="eastAsia" w:ascii="宋体" w:hAnsi="宋体" w:cs="宋体"/>
          <w:b/>
          <w:bCs/>
          <w:szCs w:val="21"/>
        </w:rPr>
        <w:t>4、</w:t>
      </w:r>
      <w:r>
        <w:rPr>
          <w:rFonts w:hint="eastAsia" w:asciiTheme="minorEastAsia" w:hAnsiTheme="minorEastAsia" w:eastAsiaTheme="minorEastAsia"/>
          <w:b/>
          <w:szCs w:val="21"/>
        </w:rPr>
        <w:t>评审</w:t>
      </w:r>
    </w:p>
    <w:p w14:paraId="31ADECD9">
      <w:pPr>
        <w:spacing w:line="500" w:lineRule="exact"/>
        <w:ind w:firstLine="420" w:firstLineChars="200"/>
        <w:rPr>
          <w:rFonts w:ascii="宋体" w:hAnsi="宋体" w:cs="宋体"/>
          <w:b/>
          <w:bCs/>
          <w:szCs w:val="21"/>
        </w:rPr>
      </w:pPr>
      <w:r>
        <w:rPr>
          <w:rFonts w:hint="eastAsia"/>
        </w:rPr>
        <w:t>1、评标办法：本项目采用</w:t>
      </w:r>
      <w:r>
        <w:rPr>
          <w:rFonts w:hint="eastAsia"/>
          <w:b/>
          <w:u w:val="single"/>
        </w:rPr>
        <w:t xml:space="preserve"> 经评审的最低价法 </w:t>
      </w:r>
      <w:r>
        <w:rPr>
          <w:rFonts w:hint="eastAsia"/>
        </w:rPr>
        <w:t>方式进行评审。</w:t>
      </w:r>
    </w:p>
    <w:p w14:paraId="62C561FD">
      <w:pPr>
        <w:spacing w:line="500" w:lineRule="exact"/>
        <w:rPr>
          <w:rFonts w:ascii="宋体" w:hAnsi="宋体" w:cs="宋体"/>
          <w:b/>
          <w:bCs/>
          <w:szCs w:val="21"/>
        </w:rPr>
      </w:pPr>
      <w:r>
        <w:rPr>
          <w:rFonts w:hint="eastAsia" w:ascii="宋体" w:hAnsi="宋体" w:cs="宋体"/>
          <w:b/>
          <w:bCs/>
          <w:szCs w:val="21"/>
        </w:rPr>
        <w:t>5、文件装订及密封要求：</w:t>
      </w:r>
    </w:p>
    <w:p w14:paraId="60076426">
      <w:pPr>
        <w:widowControl/>
        <w:spacing w:line="360" w:lineRule="auto"/>
        <w:ind w:firstLine="420" w:firstLineChars="200"/>
        <w:contextualSpacing/>
        <w:jc w:val="left"/>
        <w:rPr>
          <w:rFonts w:ascii="宋体" w:hAnsi="宋体"/>
        </w:rPr>
      </w:pPr>
      <w:r>
        <w:rPr>
          <w:rFonts w:hint="eastAsia" w:ascii="宋体" w:hAnsi="宋体"/>
        </w:rPr>
        <w:t>5.1、供应商</w:t>
      </w:r>
      <w:r>
        <w:rPr>
          <w:rFonts w:ascii="宋体" w:hAnsi="宋体"/>
        </w:rPr>
        <w:t>必须编制一份投标文件“正本”和</w:t>
      </w:r>
      <w:r>
        <w:rPr>
          <w:rFonts w:hint="eastAsia" w:ascii="宋体" w:hAnsi="宋体"/>
        </w:rPr>
        <w:t>贰</w:t>
      </w:r>
      <w:r>
        <w:rPr>
          <w:rFonts w:ascii="宋体" w:hAnsi="宋体"/>
        </w:rPr>
        <w:t>份“副本”</w:t>
      </w:r>
      <w:r>
        <w:rPr>
          <w:rFonts w:hint="eastAsia" w:ascii="宋体" w:hAnsi="宋体"/>
        </w:rPr>
        <w:t>，</w:t>
      </w:r>
      <w:r>
        <w:rPr>
          <w:rFonts w:hint="eastAsia" w:ascii="宋体" w:hAnsi="宋体"/>
          <w:b/>
        </w:rPr>
        <w:t>须密封</w:t>
      </w:r>
      <w:r>
        <w:rPr>
          <w:rFonts w:hint="eastAsia" w:ascii="宋体" w:hAnsi="宋体"/>
        </w:rPr>
        <w:t>。</w:t>
      </w:r>
      <w:r>
        <w:rPr>
          <w:rFonts w:ascii="宋体" w:hAnsi="宋体"/>
        </w:rPr>
        <w:t>应明确标明“正本”和“副本”，投标文件正本和副本如有不一致之处，以正本为准。</w:t>
      </w:r>
    </w:p>
    <w:p w14:paraId="6C01BA08">
      <w:pPr>
        <w:spacing w:line="500" w:lineRule="exact"/>
        <w:ind w:firstLine="420" w:firstLineChars="200"/>
        <w:rPr>
          <w:rFonts w:ascii="宋体" w:hAnsi="宋体"/>
        </w:rPr>
      </w:pPr>
      <w:r>
        <w:rPr>
          <w:rFonts w:hint="eastAsia" w:ascii="宋体" w:hAnsi="宋体"/>
        </w:rPr>
        <w:t>5.2、投标文件封面和密封条骑缝处均应加盖供应商印章并经法定代表人或其委托代理人签字或盖章。</w:t>
      </w:r>
    </w:p>
    <w:p w14:paraId="5612C893">
      <w:pPr>
        <w:spacing w:line="360" w:lineRule="auto"/>
        <w:ind w:firstLine="420" w:firstLineChars="200"/>
        <w:rPr>
          <w:rFonts w:ascii="宋体" w:hAnsi="宋体" w:cs="宋体"/>
          <w:b/>
          <w:szCs w:val="21"/>
        </w:rPr>
      </w:pPr>
      <w:r>
        <w:rPr>
          <w:rFonts w:hint="eastAsia" w:ascii="宋体" w:hAnsi="宋体" w:cs="宋体"/>
          <w:szCs w:val="21"/>
        </w:rPr>
        <w:t>5.3、报价人参与现场开标。</w:t>
      </w:r>
    </w:p>
    <w:p w14:paraId="43FEEE2F">
      <w:pPr>
        <w:pStyle w:val="11"/>
        <w:adjustRightInd w:val="0"/>
        <w:snapToGrid w:val="0"/>
        <w:spacing w:line="360" w:lineRule="auto"/>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6.应答文件的递交</w:t>
      </w:r>
    </w:p>
    <w:p w14:paraId="1590F517">
      <w:pPr>
        <w:adjustRightInd w:val="0"/>
        <w:snapToGrid w:val="0"/>
        <w:spacing w:line="360" w:lineRule="auto"/>
        <w:ind w:firstLine="420" w:firstLineChars="200"/>
        <w:rPr>
          <w:rFonts w:ascii="宋体" w:hAnsi="宋体"/>
          <w:szCs w:val="21"/>
        </w:rPr>
      </w:pPr>
      <w:r>
        <w:rPr>
          <w:rFonts w:hint="eastAsia" w:ascii="宋体" w:hAnsi="宋体"/>
          <w:szCs w:val="21"/>
        </w:rPr>
        <w:t>6.1应答文件</w:t>
      </w:r>
      <w:r>
        <w:rPr>
          <w:rFonts w:hint="eastAsia" w:ascii="宋体" w:hAnsi="宋体"/>
        </w:rPr>
        <w:t>递交方式：</w:t>
      </w:r>
      <w:r>
        <w:rPr>
          <w:rFonts w:hint="eastAsia" w:ascii="宋体" w:hAnsi="宋体"/>
          <w:b/>
          <w:bCs/>
          <w:szCs w:val="21"/>
          <w:u w:val="single"/>
        </w:rPr>
        <w:t>现场递交</w:t>
      </w:r>
      <w:r>
        <w:rPr>
          <w:rFonts w:hint="eastAsia" w:ascii="宋体" w:hAnsi="宋体"/>
          <w:szCs w:val="21"/>
        </w:rPr>
        <w:t>。</w:t>
      </w:r>
    </w:p>
    <w:p w14:paraId="526A6AC1">
      <w:pPr>
        <w:pStyle w:val="11"/>
        <w:adjustRightInd w:val="0"/>
        <w:snapToGrid w:val="0"/>
        <w:spacing w:line="360" w:lineRule="auto"/>
        <w:rPr>
          <w:rFonts w:ascii="宋体" w:hAnsi="宋体"/>
          <w:b/>
          <w:bCs/>
          <w:szCs w:val="21"/>
          <w:u w:val="single"/>
        </w:rPr>
      </w:pPr>
      <w:r>
        <w:rPr>
          <w:rFonts w:hint="eastAsia" w:ascii="宋体" w:hAnsi="宋体"/>
          <w:szCs w:val="21"/>
        </w:rPr>
        <w:t>6.2应答文件</w:t>
      </w:r>
      <w:r>
        <w:rPr>
          <w:rFonts w:hint="eastAsia" w:ascii="宋体" w:hAnsi="宋体"/>
        </w:rPr>
        <w:t>递交截止时间</w:t>
      </w:r>
      <w:r>
        <w:rPr>
          <w:rFonts w:hint="eastAsia" w:ascii="宋体" w:hAnsi="宋体"/>
          <w:szCs w:val="21"/>
        </w:rPr>
        <w:t>（即应答截止时间）和递交地址：</w:t>
      </w:r>
      <w:r>
        <w:rPr>
          <w:rFonts w:hint="eastAsia" w:ascii="宋体" w:hAnsi="宋体"/>
          <w:b/>
          <w:bCs/>
          <w:szCs w:val="21"/>
          <w:u w:val="single"/>
        </w:rPr>
        <w:t>202</w:t>
      </w:r>
      <w:r>
        <w:rPr>
          <w:rFonts w:hint="eastAsia" w:ascii="宋体" w:hAnsi="宋体"/>
          <w:b/>
          <w:bCs/>
          <w:szCs w:val="21"/>
          <w:u w:val="single"/>
          <w:lang w:val="en-US" w:eastAsia="zh-CN"/>
        </w:rPr>
        <w:t>6</w:t>
      </w:r>
      <w:r>
        <w:rPr>
          <w:rFonts w:hint="eastAsia" w:ascii="宋体" w:hAnsi="宋体"/>
          <w:b/>
          <w:bCs/>
          <w:szCs w:val="21"/>
          <w:u w:val="single"/>
        </w:rPr>
        <w:t>年</w:t>
      </w:r>
      <w:r>
        <w:rPr>
          <w:rFonts w:hint="eastAsia" w:ascii="宋体" w:hAnsi="宋体"/>
          <w:b/>
          <w:bCs/>
          <w:szCs w:val="21"/>
          <w:u w:val="single"/>
          <w:lang w:val="en-US" w:eastAsia="zh-CN"/>
        </w:rPr>
        <w:t>3</w:t>
      </w:r>
      <w:r>
        <w:rPr>
          <w:rFonts w:hint="eastAsia" w:ascii="宋体" w:hAnsi="宋体"/>
          <w:b/>
          <w:bCs/>
          <w:szCs w:val="21"/>
          <w:u w:val="single"/>
        </w:rPr>
        <w:t>月</w:t>
      </w:r>
      <w:r>
        <w:rPr>
          <w:rFonts w:hint="eastAsia" w:ascii="宋体" w:hAnsi="宋体"/>
          <w:b/>
          <w:bCs/>
          <w:szCs w:val="21"/>
          <w:u w:val="single"/>
          <w:lang w:val="en-US" w:eastAsia="zh-CN"/>
        </w:rPr>
        <w:t>11</w:t>
      </w:r>
      <w:r>
        <w:rPr>
          <w:rFonts w:hint="eastAsia" w:ascii="宋体" w:hAnsi="宋体"/>
          <w:b/>
          <w:bCs/>
          <w:szCs w:val="21"/>
          <w:u w:val="single"/>
        </w:rPr>
        <w:t>日14时00分（北京时间）；地址：</w:t>
      </w:r>
      <w:r>
        <w:rPr>
          <w:rFonts w:hint="eastAsia" w:ascii="宋体" w:hAnsi="宋体"/>
          <w:b/>
          <w:bCs/>
          <w:szCs w:val="21"/>
          <w:u w:val="single"/>
          <w:lang w:val="en-US" w:eastAsia="zh-CN"/>
        </w:rPr>
        <w:t>江苏三省管理咨询有限公司（常州市钟楼区邹区镇琵琶墩佳农探趣休闲生态园）</w:t>
      </w:r>
      <w:r>
        <w:rPr>
          <w:rFonts w:hint="eastAsia" w:ascii="宋体" w:hAnsi="宋体"/>
          <w:b/>
          <w:bCs/>
          <w:szCs w:val="21"/>
          <w:u w:val="single"/>
        </w:rPr>
        <w:t>。</w:t>
      </w:r>
    </w:p>
    <w:p w14:paraId="2601B3FA">
      <w:pPr>
        <w:pStyle w:val="11"/>
        <w:adjustRightInd w:val="0"/>
        <w:snapToGrid w:val="0"/>
        <w:spacing w:line="360" w:lineRule="auto"/>
        <w:rPr>
          <w:rFonts w:ascii="宋体" w:hAnsi="宋体"/>
          <w:szCs w:val="21"/>
        </w:rPr>
      </w:pPr>
      <w:r>
        <w:rPr>
          <w:rFonts w:hint="eastAsia" w:ascii="宋体" w:hAnsi="宋体"/>
          <w:szCs w:val="21"/>
        </w:rPr>
        <w:t>6.3出现以下情形时，不予接收应答文件：</w:t>
      </w:r>
    </w:p>
    <w:p w14:paraId="11796B9D">
      <w:pPr>
        <w:pStyle w:val="11"/>
        <w:tabs>
          <w:tab w:val="left" w:pos="1134"/>
        </w:tabs>
        <w:adjustRightInd w:val="0"/>
        <w:snapToGrid w:val="0"/>
        <w:spacing w:line="360" w:lineRule="auto"/>
        <w:ind w:firstLine="428"/>
        <w:rPr>
          <w:rFonts w:ascii="宋体" w:hAnsi="宋体"/>
          <w:spacing w:val="2"/>
          <w:szCs w:val="21"/>
        </w:rPr>
      </w:pPr>
      <w:r>
        <w:rPr>
          <w:rFonts w:hint="eastAsia" w:ascii="宋体" w:hAnsi="宋体"/>
          <w:spacing w:val="2"/>
          <w:szCs w:val="21"/>
        </w:rPr>
        <w:t>6.4逾期送达或者未送达指定地点的；</w:t>
      </w:r>
    </w:p>
    <w:p w14:paraId="2243F0C3">
      <w:pPr>
        <w:pStyle w:val="11"/>
        <w:tabs>
          <w:tab w:val="left" w:pos="1134"/>
        </w:tabs>
        <w:adjustRightInd w:val="0"/>
        <w:snapToGrid w:val="0"/>
        <w:spacing w:line="360" w:lineRule="auto"/>
        <w:ind w:firstLine="428"/>
        <w:rPr>
          <w:rFonts w:ascii="宋体" w:hAnsi="宋体"/>
          <w:spacing w:val="2"/>
          <w:szCs w:val="21"/>
        </w:rPr>
      </w:pPr>
      <w:r>
        <w:rPr>
          <w:rFonts w:hint="eastAsia" w:ascii="宋体" w:hAnsi="宋体"/>
          <w:spacing w:val="2"/>
          <w:szCs w:val="21"/>
        </w:rPr>
        <w:t>6.5未按照本公告要求获得本项目邀请文件的；</w:t>
      </w:r>
    </w:p>
    <w:p w14:paraId="08A03AC4">
      <w:pPr>
        <w:pStyle w:val="11"/>
        <w:tabs>
          <w:tab w:val="left" w:pos="1134"/>
        </w:tabs>
        <w:adjustRightInd w:val="0"/>
        <w:snapToGrid w:val="0"/>
        <w:spacing w:line="360" w:lineRule="auto"/>
        <w:ind w:firstLine="428"/>
        <w:rPr>
          <w:rFonts w:ascii="宋体" w:hAnsi="宋体"/>
          <w:spacing w:val="2"/>
          <w:szCs w:val="21"/>
        </w:rPr>
      </w:pPr>
      <w:r>
        <w:rPr>
          <w:rFonts w:hint="eastAsia" w:ascii="宋体" w:hAnsi="宋体"/>
          <w:spacing w:val="2"/>
          <w:szCs w:val="21"/>
        </w:rPr>
        <w:t>6.6邀请文件规定的其他情形。</w:t>
      </w:r>
    </w:p>
    <w:p w14:paraId="4FECEC92">
      <w:pPr>
        <w:pStyle w:val="11"/>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asciiTheme="minorEastAsia" w:hAnsiTheme="minorEastAsia" w:eastAsiaTheme="minorEastAsia"/>
          <w:b/>
          <w:szCs w:val="21"/>
        </w:rPr>
      </w:pPr>
      <w:r>
        <w:rPr>
          <w:rFonts w:hint="eastAsia" w:asciiTheme="minorEastAsia" w:hAnsiTheme="minorEastAsia" w:eastAsiaTheme="minorEastAsia"/>
          <w:b/>
          <w:szCs w:val="21"/>
        </w:rPr>
        <w:t>7.联系方式</w:t>
      </w:r>
    </w:p>
    <w:p w14:paraId="4792CC05">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ascii="宋体" w:hAnsi="宋体" w:eastAsia="宋体" w:cs="宋体"/>
          <w:kern w:val="0"/>
          <w:szCs w:val="21"/>
          <w:lang w:val="en-US" w:eastAsia="zh-CN"/>
        </w:rPr>
      </w:pPr>
      <w:r>
        <w:rPr>
          <w:rFonts w:hint="eastAsia" w:ascii="宋体" w:hAnsi="宋体" w:cs="宋体"/>
        </w:rPr>
        <w:t>联 系 人：</w:t>
      </w:r>
      <w:r>
        <w:rPr>
          <w:rFonts w:hint="eastAsia" w:ascii="宋体" w:hAnsi="宋体" w:cs="宋体"/>
          <w:szCs w:val="21"/>
          <w:lang w:val="en-US" w:eastAsia="zh-CN"/>
        </w:rPr>
        <w:t xml:space="preserve"> 张天宇</w:t>
      </w:r>
    </w:p>
    <w:p w14:paraId="1C1455B2">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ascii="宋体" w:hAnsi="宋体" w:eastAsia="宋体" w:cs="宋体"/>
          <w:szCs w:val="21"/>
          <w:lang w:val="en-US" w:eastAsia="zh-CN"/>
        </w:rPr>
      </w:pPr>
      <w:r>
        <w:rPr>
          <w:rFonts w:hint="eastAsia" w:ascii="宋体" w:hAnsi="宋体" w:cs="宋体"/>
        </w:rPr>
        <w:t>联系方式：</w:t>
      </w:r>
      <w:r>
        <w:rPr>
          <w:rFonts w:hint="eastAsia" w:ascii="宋体" w:hAnsi="宋体" w:cs="宋体"/>
          <w:szCs w:val="21"/>
          <w:lang w:val="en-US" w:eastAsia="zh-CN"/>
        </w:rPr>
        <w:t xml:space="preserve"> 18661210608</w:t>
      </w:r>
    </w:p>
    <w:bookmarkEnd w:id="0"/>
    <w:bookmarkEnd w:id="1"/>
    <w:bookmarkEnd w:id="2"/>
    <w:bookmarkEnd w:id="3"/>
    <w:p w14:paraId="3834AE8E">
      <w:pPr>
        <w:keepNext w:val="0"/>
        <w:keepLines w:val="0"/>
        <w:pageBreakBefore w:val="0"/>
        <w:widowControl w:val="0"/>
        <w:kinsoku/>
        <w:wordWrap/>
        <w:overflowPunct/>
        <w:topLinePunct w:val="0"/>
        <w:autoSpaceDE/>
        <w:autoSpaceDN/>
        <w:bidi w:val="0"/>
        <w:snapToGrid w:val="0"/>
        <w:spacing w:line="360" w:lineRule="exact"/>
        <w:ind w:firstLine="4200" w:firstLineChars="2000"/>
        <w:textAlignment w:val="auto"/>
        <w:rPr>
          <w:rFonts w:hint="default" w:asciiTheme="minorEastAsia" w:hAnsiTheme="minorEastAsia" w:eastAsiaTheme="minorEastAsia"/>
          <w:u w:val="single"/>
          <w:lang w:val="en-US" w:eastAsia="zh-CN"/>
        </w:rPr>
      </w:pPr>
      <w:r>
        <w:rPr>
          <w:rFonts w:hint="eastAsia" w:asciiTheme="minorEastAsia" w:hAnsiTheme="minorEastAsia" w:eastAsiaTheme="minorEastAsia"/>
          <w:lang w:val="en-US" w:eastAsia="zh-CN"/>
        </w:rPr>
        <w:t>采购人：常州市钟楼区住房和城乡建设局</w:t>
      </w:r>
    </w:p>
    <w:p w14:paraId="251584B9">
      <w:pPr>
        <w:keepNext w:val="0"/>
        <w:keepLines w:val="0"/>
        <w:pageBreakBefore w:val="0"/>
        <w:widowControl w:val="0"/>
        <w:tabs>
          <w:tab w:val="left" w:pos="7560"/>
        </w:tabs>
        <w:kinsoku/>
        <w:wordWrap/>
        <w:overflowPunct/>
        <w:topLinePunct w:val="0"/>
        <w:autoSpaceDE/>
        <w:autoSpaceDN/>
        <w:bidi w:val="0"/>
        <w:snapToGrid w:val="0"/>
        <w:spacing w:line="360" w:lineRule="exact"/>
        <w:ind w:right="106" w:rightChars="0" w:firstLine="4200" w:firstLineChars="2000"/>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代理机构：江苏三省管理咨询有限公司</w:t>
      </w:r>
    </w:p>
    <w:p w14:paraId="0C398609">
      <w:pPr>
        <w:keepNext w:val="0"/>
        <w:keepLines w:val="0"/>
        <w:pageBreakBefore w:val="0"/>
        <w:widowControl w:val="0"/>
        <w:kinsoku/>
        <w:wordWrap/>
        <w:overflowPunct/>
        <w:topLinePunct w:val="0"/>
        <w:autoSpaceDE/>
        <w:autoSpaceDN/>
        <w:bidi w:val="0"/>
        <w:snapToGrid w:val="0"/>
        <w:spacing w:line="360" w:lineRule="exact"/>
        <w:ind w:right="840" w:firstLine="5663" w:firstLineChars="2697"/>
        <w:textAlignment w:val="auto"/>
        <w:rPr>
          <w:rFonts w:asciiTheme="minorEastAsia" w:hAnsiTheme="minorEastAsia" w:eastAsiaTheme="minorEastAsia"/>
        </w:rPr>
      </w:pPr>
      <w:r>
        <w:rPr>
          <w:rFonts w:hint="eastAsia" w:asciiTheme="minorEastAsia" w:hAnsiTheme="minorEastAsia" w:eastAsiaTheme="minorEastAsia"/>
        </w:rPr>
        <w:t>202</w:t>
      </w:r>
      <w:r>
        <w:rPr>
          <w:rFonts w:hint="eastAsia" w:asciiTheme="minorEastAsia" w:hAnsiTheme="minorEastAsia" w:eastAsiaTheme="minorEastAsia"/>
          <w:lang w:val="en-US" w:eastAsia="zh-CN"/>
        </w:rPr>
        <w:t>6</w:t>
      </w:r>
      <w:r>
        <w:rPr>
          <w:rFonts w:hint="eastAsia" w:asciiTheme="minorEastAsia" w:hAnsiTheme="minorEastAsia" w:eastAsiaTheme="minorEastAsia"/>
        </w:rPr>
        <w:t>年</w:t>
      </w:r>
      <w:r>
        <w:rPr>
          <w:rFonts w:hint="eastAsia" w:asciiTheme="minorEastAsia" w:hAnsiTheme="minorEastAsia" w:eastAsiaTheme="minorEastAsia"/>
          <w:lang w:val="en-US" w:eastAsia="zh-CN"/>
        </w:rPr>
        <w:t>3</w:t>
      </w:r>
      <w:r>
        <w:rPr>
          <w:rFonts w:hint="eastAsia" w:asciiTheme="minorEastAsia" w:hAnsiTheme="minorEastAsia" w:eastAsiaTheme="minorEastAsia"/>
        </w:rPr>
        <w:t>月</w:t>
      </w:r>
      <w:r>
        <w:rPr>
          <w:rFonts w:hint="eastAsia" w:asciiTheme="minorEastAsia" w:hAnsiTheme="minorEastAsia" w:eastAsiaTheme="minorEastAsia"/>
          <w:lang w:val="en-US" w:eastAsia="zh-CN"/>
        </w:rPr>
        <w:t>6</w:t>
      </w:r>
      <w:r>
        <w:rPr>
          <w:rFonts w:hint="eastAsia" w:asciiTheme="minorEastAsia" w:hAnsiTheme="minorEastAsia" w:eastAsiaTheme="minorEastAsia"/>
        </w:rPr>
        <w:t>日</w:t>
      </w:r>
    </w:p>
    <w:p w14:paraId="7EC5A443">
      <w:pPr>
        <w:spacing w:line="360" w:lineRule="auto"/>
        <w:jc w:val="left"/>
        <w:rPr>
          <w:rFonts w:hint="eastAsia" w:ascii="宋体" w:hAnsi="宋体" w:eastAsia="宋体"/>
          <w:b/>
          <w:sz w:val="32"/>
          <w:szCs w:val="32"/>
          <w:lang w:eastAsia="zh-CN"/>
        </w:rPr>
      </w:pPr>
      <w:r>
        <w:rPr>
          <w:rFonts w:hint="eastAsia"/>
          <w:color w:val="000000"/>
          <w:sz w:val="24"/>
          <w:lang w:val="en-US" w:eastAsia="zh-CN"/>
        </w:rPr>
        <w:t>附件</w:t>
      </w:r>
    </w:p>
    <w:p w14:paraId="3BD1D51A">
      <w:pPr>
        <w:spacing w:line="360" w:lineRule="auto"/>
        <w:jc w:val="center"/>
        <w:rPr>
          <w:rFonts w:ascii="宋体" w:hAnsi="宋体"/>
          <w:b/>
          <w:sz w:val="32"/>
          <w:szCs w:val="32"/>
        </w:rPr>
      </w:pPr>
      <w:r>
        <w:rPr>
          <w:rFonts w:hint="eastAsia" w:ascii="宋体" w:hAnsi="宋体"/>
          <w:b/>
          <w:sz w:val="32"/>
          <w:szCs w:val="32"/>
        </w:rPr>
        <w:t>法定代表人资格证明书</w:t>
      </w:r>
    </w:p>
    <w:p w14:paraId="1457F28B">
      <w:pPr>
        <w:spacing w:line="560" w:lineRule="exact"/>
        <w:rPr>
          <w:rFonts w:ascii="宋体" w:hAnsi="宋体"/>
          <w:sz w:val="24"/>
        </w:rPr>
      </w:pPr>
      <w:r>
        <w:rPr>
          <w:rFonts w:hint="eastAsia" w:ascii="宋体" w:hAnsi="宋体"/>
          <w:sz w:val="24"/>
        </w:rPr>
        <w:t>单位名称:</w:t>
      </w:r>
    </w:p>
    <w:p w14:paraId="1CA9F939">
      <w:pPr>
        <w:spacing w:line="560" w:lineRule="exact"/>
        <w:rPr>
          <w:rFonts w:ascii="宋体" w:hAnsi="宋体"/>
          <w:sz w:val="24"/>
        </w:rPr>
      </w:pPr>
      <w:r>
        <w:rPr>
          <w:rFonts w:hint="eastAsia" w:ascii="宋体" w:hAnsi="宋体"/>
          <w:sz w:val="24"/>
        </w:rPr>
        <w:t>地址:</w:t>
      </w:r>
    </w:p>
    <w:p w14:paraId="392CC878">
      <w:pPr>
        <w:spacing w:line="560" w:lineRule="exact"/>
        <w:rPr>
          <w:rFonts w:ascii="宋体" w:hAnsi="宋体"/>
          <w:sz w:val="24"/>
        </w:rPr>
      </w:pPr>
      <w:r>
        <w:rPr>
          <w:rFonts w:hint="eastAsia" w:ascii="宋体" w:hAnsi="宋体"/>
          <w:sz w:val="24"/>
        </w:rPr>
        <w:t>姓名:     性别:       年龄:      职务:</w:t>
      </w:r>
    </w:p>
    <w:p w14:paraId="4AB95FBE">
      <w:pPr>
        <w:spacing w:line="560" w:lineRule="exact"/>
        <w:rPr>
          <w:rFonts w:ascii="宋体" w:hAnsi="宋体"/>
          <w:sz w:val="24"/>
        </w:rPr>
      </w:pPr>
      <w:r>
        <w:rPr>
          <w:rFonts w:hint="eastAsia" w:ascii="宋体" w:hAnsi="宋体"/>
          <w:sz w:val="24"/>
        </w:rPr>
        <w:t>系</w:t>
      </w:r>
      <w:r>
        <w:rPr>
          <w:rFonts w:hint="eastAsia" w:ascii="宋体" w:hAnsi="宋体"/>
          <w:sz w:val="24"/>
          <w:u w:val="single"/>
        </w:rPr>
        <w:t>（投标单位名称）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采购</w:t>
      </w:r>
      <w:r>
        <w:rPr>
          <w:rFonts w:hint="eastAsia" w:ascii="宋体" w:hAnsi="宋体"/>
          <w:sz w:val="24"/>
        </w:rPr>
        <w:t>活动，</w:t>
      </w:r>
      <w:r>
        <w:rPr>
          <w:rFonts w:ascii="宋体" w:hAnsi="宋体"/>
          <w:color w:val="000000"/>
          <w:sz w:val="24"/>
          <w:szCs w:val="20"/>
        </w:rPr>
        <w:t>签署、澄清确认、递交、撤回、修改</w:t>
      </w:r>
      <w:r>
        <w:rPr>
          <w:rFonts w:hint="eastAsia" w:ascii="宋体" w:hAnsi="宋体"/>
          <w:sz w:val="24"/>
        </w:rPr>
        <w:t>上述项目的投标文件、进行合同谈判、签署合同和处理与之有关的一切事务。</w:t>
      </w:r>
    </w:p>
    <w:p w14:paraId="2AB49F6D">
      <w:pPr>
        <w:spacing w:line="560" w:lineRule="exact"/>
        <w:rPr>
          <w:rFonts w:ascii="宋体" w:hAnsi="宋体"/>
          <w:sz w:val="24"/>
        </w:rPr>
      </w:pPr>
      <w:r>
        <w:rPr>
          <w:rFonts w:hint="eastAsia" w:ascii="宋体" w:hAnsi="宋体"/>
          <w:sz w:val="24"/>
        </w:rPr>
        <w:t>特此证明。</w:t>
      </w:r>
    </w:p>
    <w:p w14:paraId="7B9BACCF">
      <w:pPr>
        <w:spacing w:line="560" w:lineRule="exact"/>
        <w:rPr>
          <w:rFonts w:ascii="宋体" w:hAnsi="宋体"/>
          <w:sz w:val="24"/>
        </w:rPr>
      </w:pPr>
    </w:p>
    <w:p w14:paraId="1AB8709D">
      <w:pPr>
        <w:pStyle w:val="4"/>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B802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14729112">
            <w:pPr>
              <w:tabs>
                <w:tab w:val="left" w:pos="5580"/>
              </w:tabs>
              <w:spacing w:line="360" w:lineRule="auto"/>
              <w:jc w:val="left"/>
              <w:rPr>
                <w:rFonts w:ascii="宋体" w:hAnsi="宋体"/>
                <w:color w:val="000000"/>
                <w:sz w:val="24"/>
                <w:szCs w:val="20"/>
              </w:rPr>
            </w:pPr>
          </w:p>
          <w:p w14:paraId="02326929">
            <w:pPr>
              <w:tabs>
                <w:tab w:val="left" w:pos="5580"/>
              </w:tabs>
              <w:spacing w:line="360" w:lineRule="auto"/>
              <w:jc w:val="left"/>
              <w:rPr>
                <w:rFonts w:ascii="宋体" w:hAnsi="宋体"/>
                <w:color w:val="000000"/>
                <w:sz w:val="24"/>
                <w:szCs w:val="20"/>
              </w:rPr>
            </w:pPr>
          </w:p>
          <w:p w14:paraId="6E221B1D">
            <w:pPr>
              <w:tabs>
                <w:tab w:val="left" w:pos="5580"/>
              </w:tabs>
              <w:spacing w:line="360" w:lineRule="auto"/>
              <w:jc w:val="left"/>
              <w:rPr>
                <w:rFonts w:ascii="宋体" w:hAnsi="宋体"/>
                <w:color w:val="000000"/>
                <w:sz w:val="24"/>
                <w:szCs w:val="20"/>
              </w:rPr>
            </w:pPr>
          </w:p>
        </w:tc>
        <w:tc>
          <w:tcPr>
            <w:tcW w:w="4536" w:type="dxa"/>
            <w:noWrap w:val="0"/>
            <w:vAlign w:val="top"/>
          </w:tcPr>
          <w:p w14:paraId="562600DA">
            <w:pPr>
              <w:tabs>
                <w:tab w:val="left" w:pos="5580"/>
              </w:tabs>
              <w:spacing w:line="360" w:lineRule="auto"/>
              <w:jc w:val="left"/>
              <w:rPr>
                <w:rFonts w:ascii="宋体" w:hAnsi="宋体"/>
                <w:color w:val="000000"/>
                <w:sz w:val="24"/>
                <w:szCs w:val="20"/>
              </w:rPr>
            </w:pPr>
          </w:p>
          <w:p w14:paraId="39EB6C43">
            <w:pPr>
              <w:tabs>
                <w:tab w:val="left" w:pos="5580"/>
              </w:tabs>
              <w:spacing w:line="360" w:lineRule="auto"/>
              <w:jc w:val="left"/>
              <w:rPr>
                <w:rFonts w:ascii="宋体" w:hAnsi="宋体"/>
                <w:color w:val="000000"/>
                <w:sz w:val="24"/>
                <w:szCs w:val="20"/>
              </w:rPr>
            </w:pPr>
          </w:p>
          <w:p w14:paraId="7D85F340">
            <w:pPr>
              <w:tabs>
                <w:tab w:val="left" w:pos="5580"/>
              </w:tabs>
              <w:spacing w:line="360" w:lineRule="auto"/>
              <w:jc w:val="left"/>
              <w:rPr>
                <w:rFonts w:ascii="宋体" w:hAnsi="宋体"/>
                <w:color w:val="000000"/>
                <w:sz w:val="24"/>
                <w:szCs w:val="20"/>
              </w:rPr>
            </w:pPr>
          </w:p>
        </w:tc>
      </w:tr>
    </w:tbl>
    <w:p w14:paraId="718DDBCE">
      <w:pPr>
        <w:spacing w:line="560" w:lineRule="exact"/>
        <w:rPr>
          <w:rFonts w:ascii="宋体" w:hAnsi="宋体"/>
          <w:sz w:val="24"/>
        </w:rPr>
      </w:pPr>
      <w:r>
        <w:rPr>
          <w:rFonts w:hint="eastAsia" w:ascii="宋体" w:hAnsi="宋体"/>
          <w:sz w:val="24"/>
        </w:rPr>
        <w:t>                     投标人：（加盖公章）</w:t>
      </w:r>
    </w:p>
    <w:p w14:paraId="4141B3E6">
      <w:pPr>
        <w:spacing w:line="560" w:lineRule="exact"/>
        <w:rPr>
          <w:rFonts w:ascii="宋体" w:hAnsi="宋体"/>
          <w:sz w:val="24"/>
        </w:rPr>
      </w:pPr>
      <w:r>
        <w:rPr>
          <w:rFonts w:hint="eastAsia" w:ascii="宋体" w:hAnsi="宋体"/>
          <w:sz w:val="24"/>
        </w:rPr>
        <w:t>                       法定代表人</w:t>
      </w:r>
      <w:r>
        <w:rPr>
          <w:rFonts w:ascii="宋体" w:hAnsi="宋体"/>
          <w:color w:val="000000"/>
          <w:sz w:val="24"/>
          <w:szCs w:val="20"/>
        </w:rPr>
        <w:t>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hint="eastAsia" w:ascii="宋体" w:hAnsi="宋体"/>
          <w:sz w:val="24"/>
        </w:rPr>
        <w:t>：</w:t>
      </w:r>
    </w:p>
    <w:p w14:paraId="7D38953C">
      <w:pPr>
        <w:spacing w:line="560" w:lineRule="exact"/>
        <w:ind w:firstLine="4320" w:firstLineChars="1800"/>
        <w:rPr>
          <w:rFonts w:ascii="宋体" w:hAnsi="宋体"/>
          <w:sz w:val="24"/>
        </w:rPr>
      </w:pPr>
      <w:r>
        <w:rPr>
          <w:rFonts w:hint="eastAsia" w:ascii="宋体" w:hAnsi="宋体"/>
          <w:sz w:val="24"/>
        </w:rPr>
        <w:t>日期：    年    月    日</w:t>
      </w:r>
    </w:p>
    <w:p w14:paraId="7963D28A">
      <w:pPr>
        <w:widowControl/>
        <w:jc w:val="left"/>
        <w:rPr>
          <w:rFonts w:hint="eastAsia"/>
          <w:color w:val="000000"/>
          <w:sz w:val="24"/>
        </w:rPr>
      </w:pPr>
    </w:p>
    <w:p w14:paraId="14E51994">
      <w:pPr>
        <w:widowControl/>
        <w:jc w:val="left"/>
        <w:rPr>
          <w:rFonts w:hint="eastAsia"/>
          <w:color w:val="000000"/>
          <w:sz w:val="24"/>
        </w:rPr>
      </w:pPr>
    </w:p>
    <w:p w14:paraId="111D480F">
      <w:pPr>
        <w:widowControl/>
        <w:jc w:val="left"/>
        <w:rPr>
          <w:rFonts w:hint="eastAsia"/>
          <w:color w:val="000000"/>
          <w:sz w:val="24"/>
        </w:rPr>
      </w:pPr>
    </w:p>
    <w:p w14:paraId="39754817">
      <w:pPr>
        <w:pStyle w:val="14"/>
        <w:spacing w:line="360" w:lineRule="exact"/>
        <w:jc w:val="center"/>
        <w:rPr>
          <w:rFonts w:cs="宋体"/>
          <w:b/>
          <w:sz w:val="28"/>
          <w:szCs w:val="28"/>
        </w:rPr>
      </w:pPr>
      <w:r>
        <w:rPr>
          <w:rFonts w:hint="eastAsia" w:cs="宋体"/>
          <w:b/>
          <w:sz w:val="28"/>
          <w:szCs w:val="28"/>
        </w:rPr>
        <w:br w:type="page"/>
      </w:r>
      <w:r>
        <w:rPr>
          <w:rFonts w:hint="eastAsia" w:cs="宋体"/>
          <w:b/>
          <w:sz w:val="28"/>
          <w:szCs w:val="28"/>
        </w:rPr>
        <w:t>授权委托书</w:t>
      </w:r>
    </w:p>
    <w:p w14:paraId="7E1971ED">
      <w:pPr>
        <w:adjustRightInd w:val="0"/>
        <w:snapToGrid w:val="0"/>
        <w:spacing w:line="360" w:lineRule="auto"/>
        <w:ind w:firstLine="516" w:firstLineChars="215"/>
        <w:rPr>
          <w:rFonts w:ascii="宋体" w:hAnsi="宋体" w:cs="宋体"/>
          <w:sz w:val="24"/>
          <w:szCs w:val="24"/>
        </w:rPr>
      </w:pPr>
    </w:p>
    <w:p w14:paraId="547B1C6A">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w:t>
      </w:r>
      <w:r>
        <w:rPr>
          <w:rFonts w:hint="eastAsia" w:ascii="宋体" w:hAnsi="宋体" w:cs="宋体"/>
          <w:sz w:val="24"/>
          <w:szCs w:val="24"/>
          <w:lang w:val="en-US" w:eastAsia="zh-CN"/>
        </w:rPr>
        <w:t>投标</w:t>
      </w:r>
      <w:r>
        <w:rPr>
          <w:rFonts w:hint="eastAsia" w:ascii="宋体" w:hAnsi="宋体" w:cs="宋体"/>
          <w:sz w:val="24"/>
          <w:szCs w:val="24"/>
        </w:rPr>
        <w:t>中我单位的合法代理人，全权负责参加本次项目的</w:t>
      </w:r>
      <w:r>
        <w:rPr>
          <w:rFonts w:hint="eastAsia" w:ascii="宋体" w:hAnsi="宋体" w:cs="宋体"/>
          <w:sz w:val="24"/>
          <w:szCs w:val="24"/>
          <w:lang w:val="en-US" w:eastAsia="zh-CN"/>
        </w:rPr>
        <w:t>投标</w:t>
      </w:r>
      <w:r>
        <w:rPr>
          <w:rFonts w:hint="eastAsia" w:ascii="宋体" w:hAnsi="宋体" w:cs="宋体"/>
          <w:sz w:val="24"/>
          <w:szCs w:val="24"/>
        </w:rPr>
        <w:t>、签订合约以及与之相关的各项工作。本供应商对被授权人的签名负全部责任。</w:t>
      </w:r>
    </w:p>
    <w:p w14:paraId="0173544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本授权书于__________年_______月________日签字生效，特此声明。</w:t>
      </w:r>
    </w:p>
    <w:p w14:paraId="08B970C3">
      <w:pPr>
        <w:adjustRightInd w:val="0"/>
        <w:snapToGrid w:val="0"/>
        <w:spacing w:line="360" w:lineRule="auto"/>
        <w:rPr>
          <w:rFonts w:ascii="宋体" w:hAnsi="宋体" w:cs="宋体"/>
          <w:sz w:val="24"/>
          <w:szCs w:val="24"/>
        </w:rPr>
      </w:pPr>
    </w:p>
    <w:p w14:paraId="6BB57317">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5C4B8BEF">
      <w:pPr>
        <w:spacing w:line="400" w:lineRule="exact"/>
        <w:rPr>
          <w:rFonts w:ascii="宋体" w:hAnsi="宋体" w:cs="宋体"/>
          <w:szCs w:val="21"/>
        </w:rPr>
      </w:pPr>
      <w:r>
        <w:rPr>
          <w:rFonts w:hint="eastAsia" w:ascii="宋体" w:hAnsi="宋体" w:cs="宋体"/>
          <w:szCs w:val="21"/>
        </w:rPr>
        <w:t>职务：                                       联系电话：</w:t>
      </w:r>
    </w:p>
    <w:p w14:paraId="4F7A5783">
      <w:pPr>
        <w:spacing w:line="400" w:lineRule="exact"/>
        <w:rPr>
          <w:rFonts w:ascii="宋体" w:hAnsi="宋体" w:cs="宋体"/>
          <w:szCs w:val="21"/>
        </w:rPr>
      </w:pPr>
      <w:r>
        <w:rPr>
          <w:rFonts w:hint="eastAsia" w:ascii="宋体" w:hAnsi="宋体" w:cs="宋体"/>
          <w:szCs w:val="21"/>
        </w:rPr>
        <w:t>单位名称：                                   地址：</w:t>
      </w:r>
    </w:p>
    <w:p w14:paraId="52016114">
      <w:pPr>
        <w:spacing w:line="400" w:lineRule="exact"/>
        <w:rPr>
          <w:rFonts w:ascii="宋体" w:hAnsi="宋体" w:cs="宋体"/>
          <w:szCs w:val="21"/>
        </w:rPr>
      </w:pPr>
      <w:r>
        <w:rPr>
          <w:rFonts w:hint="eastAsia" w:ascii="宋体" w:hAnsi="宋体" w:cs="宋体"/>
          <w:szCs w:val="21"/>
        </w:rPr>
        <w:t>身份证号码：</w:t>
      </w:r>
    </w:p>
    <w:p w14:paraId="2D8A21EF">
      <w:pPr>
        <w:spacing w:line="400" w:lineRule="exact"/>
        <w:rPr>
          <w:rFonts w:ascii="宋体" w:hAnsi="宋体" w:cs="宋体"/>
          <w:szCs w:val="21"/>
        </w:rPr>
      </w:pPr>
    </w:p>
    <w:p w14:paraId="27DF2F3D">
      <w:pPr>
        <w:spacing w:line="400" w:lineRule="exact"/>
        <w:rPr>
          <w:rFonts w:ascii="宋体" w:hAnsi="宋体" w:cs="宋体"/>
          <w:szCs w:val="21"/>
        </w:rPr>
      </w:pPr>
      <w:r>
        <w:rPr>
          <w:rFonts w:hint="eastAsia" w:ascii="宋体" w:hAnsi="宋体" w:cs="宋体"/>
          <w:szCs w:val="21"/>
        </w:rPr>
        <w:t>委托代理人（被授权人）签字或盖章：           日期：</w:t>
      </w:r>
    </w:p>
    <w:p w14:paraId="4F9BA528">
      <w:pPr>
        <w:spacing w:line="400" w:lineRule="exact"/>
        <w:rPr>
          <w:rFonts w:ascii="宋体" w:hAnsi="宋体" w:cs="宋体"/>
          <w:szCs w:val="21"/>
        </w:rPr>
      </w:pPr>
      <w:r>
        <w:rPr>
          <w:rFonts w:hint="eastAsia" w:ascii="宋体" w:hAnsi="宋体" w:cs="宋体"/>
          <w:szCs w:val="21"/>
        </w:rPr>
        <w:t>职务：                                       联系电话：</w:t>
      </w:r>
    </w:p>
    <w:p w14:paraId="0AD8AB53">
      <w:pPr>
        <w:spacing w:line="400" w:lineRule="exact"/>
        <w:rPr>
          <w:rFonts w:ascii="宋体" w:hAnsi="宋体" w:cs="宋体"/>
          <w:szCs w:val="21"/>
        </w:rPr>
      </w:pPr>
      <w:r>
        <w:rPr>
          <w:rFonts w:hint="eastAsia" w:ascii="宋体" w:hAnsi="宋体" w:cs="宋体"/>
          <w:szCs w:val="21"/>
        </w:rPr>
        <w:t>单位名称：                                   地址：</w:t>
      </w:r>
    </w:p>
    <w:p w14:paraId="4A94F2E3">
      <w:pPr>
        <w:spacing w:line="400" w:lineRule="exact"/>
        <w:rPr>
          <w:rFonts w:ascii="宋体" w:hAnsi="宋体" w:cs="宋体"/>
          <w:szCs w:val="21"/>
        </w:rPr>
      </w:pPr>
      <w:r>
        <w:rPr>
          <w:rFonts w:hint="eastAsia" w:ascii="宋体" w:hAnsi="宋体" w:cs="宋体"/>
          <w:szCs w:val="21"/>
        </w:rPr>
        <w:t>身份证号码：</w:t>
      </w:r>
    </w:p>
    <w:p w14:paraId="6EE6052D">
      <w:pPr>
        <w:spacing w:line="400" w:lineRule="exact"/>
        <w:rPr>
          <w:rFonts w:ascii="宋体" w:hAnsi="宋体" w:cs="宋体"/>
          <w:szCs w:val="21"/>
        </w:rPr>
      </w:pPr>
    </w:p>
    <w:p w14:paraId="43BA0D7A">
      <w:pPr>
        <w:spacing w:line="400" w:lineRule="exact"/>
        <w:rPr>
          <w:rFonts w:ascii="宋体" w:hAnsi="宋体" w:cs="宋体"/>
          <w:szCs w:val="21"/>
        </w:rPr>
      </w:pPr>
      <w:r>
        <w:rPr>
          <w:rFonts w:hint="eastAsia" w:ascii="宋体" w:hAnsi="宋体" w:cs="宋体"/>
          <w:szCs w:val="21"/>
        </w:rPr>
        <w:t xml:space="preserve">供应商公章： </w:t>
      </w:r>
    </w:p>
    <w:p w14:paraId="291837FF">
      <w:pPr>
        <w:spacing w:line="400" w:lineRule="exact"/>
        <w:rPr>
          <w:rFonts w:ascii="宋体" w:hAnsi="宋体" w:cs="宋体"/>
          <w:szCs w:val="21"/>
        </w:rPr>
      </w:pPr>
      <w:r>
        <w:rPr>
          <w:rFonts w:hint="eastAsia" w:ascii="宋体" w:hAnsi="宋体" w:cs="宋体"/>
          <w:szCs w:val="21"/>
        </w:rPr>
        <w:t>地址：                                       电话：</w:t>
      </w:r>
    </w:p>
    <w:p w14:paraId="51964764">
      <w:pPr>
        <w:spacing w:line="400" w:lineRule="exact"/>
        <w:rPr>
          <w:rFonts w:ascii="宋体" w:hAnsi="宋体" w:cs="宋体"/>
          <w:szCs w:val="21"/>
        </w:rPr>
      </w:pPr>
      <w:r>
        <w:rPr>
          <w:rFonts w:hint="eastAsia" w:ascii="宋体" w:hAnsi="宋体" w:cs="宋体"/>
          <w:szCs w:val="21"/>
        </w:rPr>
        <w:t>传真：                                       邮编：</w:t>
      </w:r>
    </w:p>
    <w:p w14:paraId="6725C82D">
      <w:pPr>
        <w:spacing w:line="400" w:lineRule="exact"/>
        <w:rPr>
          <w:rFonts w:ascii="宋体" w:hAnsi="宋体" w:cs="宋体"/>
          <w:szCs w:val="21"/>
        </w:rPr>
      </w:pPr>
      <w:r>
        <w:rPr>
          <w:rFonts w:hint="eastAsia" w:ascii="宋体" w:hAnsi="宋体" w:cs="宋体"/>
          <w:szCs w:val="21"/>
        </w:rPr>
        <w:t>开户行：</w:t>
      </w:r>
    </w:p>
    <w:p w14:paraId="404B4228">
      <w:pPr>
        <w:spacing w:line="400" w:lineRule="exact"/>
        <w:rPr>
          <w:rFonts w:ascii="宋体" w:hAnsi="宋体" w:cs="宋体"/>
          <w:szCs w:val="21"/>
        </w:rPr>
      </w:pPr>
      <w:r>
        <w:rPr>
          <w:rFonts w:hint="eastAsia" w:ascii="宋体" w:hAnsi="宋体" w:cs="宋体"/>
          <w:szCs w:val="21"/>
        </w:rPr>
        <w:t>帐号：</w:t>
      </w:r>
    </w:p>
    <w:p w14:paraId="2B7413E8">
      <w:pPr>
        <w:spacing w:line="400" w:lineRule="exact"/>
        <w:rPr>
          <w:rFonts w:ascii="宋体" w:hAnsi="宋体"/>
          <w:szCs w:val="21"/>
        </w:rPr>
      </w:pPr>
    </w:p>
    <w:p w14:paraId="05AB17A6">
      <w:pPr>
        <w:spacing w:line="400" w:lineRule="exact"/>
        <w:rPr>
          <w:rFonts w:ascii="宋体" w:hAnsi="宋体"/>
          <w:szCs w:val="21"/>
        </w:rPr>
      </w:pPr>
      <w:r>
        <w:rPr>
          <w:rFonts w:hint="eastAsia" w:ascii="宋体" w:hAnsi="宋体"/>
          <w:szCs w:val="21"/>
        </w:rPr>
        <w:t>代理人身份证</w:t>
      </w:r>
    </w:p>
    <w:p w14:paraId="2B4FE32A">
      <w:pPr>
        <w:spacing w:line="360" w:lineRule="auto"/>
        <w:rPr>
          <w:rFonts w:ascii="宋体" w:hAnsi="宋体" w:cs="宋体"/>
          <w:sz w:val="24"/>
          <w:szCs w:val="24"/>
        </w:rPr>
      </w:pPr>
      <w:r>
        <w:rPr>
          <w:rFonts w:hint="eastAsia" w:ascii="宋体" w:hAnsi="宋体"/>
          <w:szCs w:val="21"/>
        </w:rPr>
        <w:t>（双面复印件）粘贴处</w:t>
      </w:r>
    </w:p>
    <w:p w14:paraId="3ADE270B">
      <w:pPr>
        <w:spacing w:line="360" w:lineRule="auto"/>
        <w:rPr>
          <w:rFonts w:ascii="宋体" w:hAnsi="宋体" w:cs="宋体"/>
          <w:sz w:val="24"/>
          <w:szCs w:val="24"/>
        </w:rPr>
      </w:pPr>
    </w:p>
    <w:p w14:paraId="22071C1F">
      <w:pPr>
        <w:spacing w:line="360" w:lineRule="auto"/>
        <w:rPr>
          <w:rFonts w:ascii="宋体" w:hAnsi="宋体" w:cs="宋体"/>
          <w:szCs w:val="21"/>
        </w:rPr>
      </w:pPr>
    </w:p>
    <w:p w14:paraId="63EA2C1C">
      <w:pPr>
        <w:widowControl/>
        <w:jc w:val="left"/>
        <w:rPr>
          <w:rFonts w:hint="eastAsia"/>
          <w:color w:val="000000"/>
          <w:sz w:val="24"/>
        </w:rPr>
      </w:pPr>
    </w:p>
    <w:p w14:paraId="013B13A3">
      <w:pPr>
        <w:widowControl/>
        <w:jc w:val="left"/>
        <w:rPr>
          <w:rFonts w:hint="eastAsia"/>
          <w:color w:val="000000"/>
          <w:sz w:val="24"/>
        </w:rPr>
      </w:pPr>
    </w:p>
    <w:p w14:paraId="1A3816B2">
      <w:pPr>
        <w:widowControl/>
        <w:jc w:val="left"/>
        <w:rPr>
          <w:color w:val="000000"/>
          <w:sz w:val="24"/>
          <w:szCs w:val="20"/>
        </w:rPr>
      </w:pPr>
      <w:bookmarkStart w:id="4" w:name="_Toc264969247"/>
      <w:bookmarkStart w:id="5" w:name="_Toc150774762"/>
      <w:bookmarkStart w:id="6" w:name="_Toc127151557"/>
      <w:bookmarkStart w:id="7" w:name="_Toc265228395"/>
      <w:bookmarkStart w:id="8" w:name="_Toc226309801"/>
      <w:bookmarkStart w:id="9" w:name="_Ref467988705"/>
      <w:bookmarkStart w:id="10" w:name="_Toc226965830"/>
      <w:bookmarkStart w:id="11" w:name="_Toc305158825"/>
      <w:bookmarkStart w:id="12" w:name="_Toc226337253"/>
      <w:bookmarkStart w:id="13" w:name="_Toc305158899"/>
      <w:bookmarkStart w:id="14" w:name="_Toc520356218"/>
      <w:bookmarkStart w:id="15" w:name="_Toc150480795"/>
      <w:bookmarkStart w:id="16" w:name="_Toc142311059"/>
      <w:bookmarkStart w:id="17" w:name="_Toc195842922"/>
      <w:bookmarkStart w:id="18" w:name="_Toc226965747"/>
      <w:bookmarkStart w:id="19" w:name="_Toc480942350"/>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7A712069">
      <w:pPr>
        <w:spacing w:line="360" w:lineRule="exact"/>
        <w:jc w:val="center"/>
        <w:rPr>
          <w:rFonts w:hint="eastAsia"/>
          <w:b/>
          <w:color w:val="000000"/>
          <w:sz w:val="36"/>
          <w:szCs w:val="36"/>
        </w:rPr>
      </w:pPr>
      <w:bookmarkStart w:id="20" w:name="_Toc226965748"/>
      <w:bookmarkStart w:id="21" w:name="_Toc164608672"/>
      <w:bookmarkStart w:id="22" w:name="_Toc305158900"/>
      <w:bookmarkStart w:id="23" w:name="_Toc195842923"/>
      <w:bookmarkStart w:id="24" w:name="_Toc265228396"/>
      <w:bookmarkStart w:id="25" w:name="_Toc226965831"/>
      <w:bookmarkStart w:id="26" w:name="_Toc305158826"/>
      <w:bookmarkStart w:id="27" w:name="_Toc264969248"/>
      <w:bookmarkStart w:id="28" w:name="_Toc164608827"/>
      <w:bookmarkStart w:id="29" w:name="_Toc226337254"/>
      <w:bookmarkStart w:id="30" w:name="_Toc226309802"/>
    </w:p>
    <w:p w14:paraId="43217D4D">
      <w:pPr>
        <w:spacing w:line="360" w:lineRule="exact"/>
        <w:jc w:val="center"/>
        <w:rPr>
          <w:rFonts w:hint="eastAsia"/>
          <w:b/>
          <w:color w:val="000000"/>
          <w:sz w:val="36"/>
          <w:szCs w:val="36"/>
        </w:rPr>
      </w:pPr>
    </w:p>
    <w:p w14:paraId="166A298F">
      <w:pPr>
        <w:spacing w:line="360" w:lineRule="exact"/>
        <w:jc w:val="center"/>
        <w:rPr>
          <w:rFonts w:hint="eastAsia"/>
          <w:b/>
          <w:color w:val="000000"/>
          <w:sz w:val="36"/>
          <w:szCs w:val="36"/>
        </w:rPr>
      </w:pPr>
    </w:p>
    <w:p w14:paraId="28D817BA">
      <w:pPr>
        <w:spacing w:line="360" w:lineRule="exact"/>
        <w:jc w:val="center"/>
        <w:rPr>
          <w:b/>
          <w:color w:val="000000"/>
          <w:sz w:val="36"/>
          <w:szCs w:val="36"/>
        </w:rPr>
      </w:pPr>
      <w:r>
        <w:rPr>
          <w:rFonts w:hint="eastAsia"/>
          <w:b/>
          <w:color w:val="000000"/>
          <w:sz w:val="36"/>
          <w:szCs w:val="36"/>
        </w:rPr>
        <w:t>开标一览表</w:t>
      </w:r>
      <w:bookmarkEnd w:id="20"/>
      <w:bookmarkEnd w:id="21"/>
      <w:bookmarkEnd w:id="22"/>
      <w:bookmarkEnd w:id="23"/>
      <w:bookmarkEnd w:id="24"/>
      <w:bookmarkEnd w:id="25"/>
      <w:bookmarkEnd w:id="26"/>
      <w:bookmarkEnd w:id="27"/>
      <w:bookmarkEnd w:id="28"/>
      <w:bookmarkEnd w:id="29"/>
      <w:bookmarkEnd w:id="30"/>
    </w:p>
    <w:p w14:paraId="09558EF2">
      <w:pPr>
        <w:tabs>
          <w:tab w:val="left" w:pos="1800"/>
          <w:tab w:val="left" w:pos="5580"/>
        </w:tabs>
        <w:spacing w:line="360" w:lineRule="auto"/>
        <w:jc w:val="left"/>
        <w:rPr>
          <w:i/>
          <w:color w:val="FF0000"/>
          <w:sz w:val="24"/>
        </w:rPr>
      </w:pPr>
    </w:p>
    <w:p w14:paraId="1B58B23E">
      <w:pPr>
        <w:tabs>
          <w:tab w:val="left" w:pos="1800"/>
          <w:tab w:val="left" w:pos="5580"/>
        </w:tabs>
        <w:spacing w:line="360" w:lineRule="auto"/>
        <w:ind w:firstLine="240" w:firstLineChars="100"/>
        <w:jc w:val="left"/>
        <w:rPr>
          <w:color w:val="000000"/>
          <w:sz w:val="24"/>
          <w:u w:val="single"/>
        </w:rPr>
      </w:pPr>
      <w:r>
        <w:rPr>
          <w:color w:val="000000"/>
          <w:sz w:val="24"/>
        </w:rPr>
        <w:t>项目编号/包号：_____________________     项目名称：____________</w:t>
      </w:r>
    </w:p>
    <w:tbl>
      <w:tblPr>
        <w:tblStyle w:val="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14:paraId="4F95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noWrap w:val="0"/>
            <w:vAlign w:val="center"/>
          </w:tcPr>
          <w:p w14:paraId="6DD5932D">
            <w:pPr>
              <w:tabs>
                <w:tab w:val="left" w:pos="5580"/>
              </w:tabs>
              <w:jc w:val="center"/>
              <w:rPr>
                <w:b/>
                <w:sz w:val="24"/>
              </w:rPr>
            </w:pPr>
            <w:r>
              <w:rPr>
                <w:b/>
                <w:sz w:val="24"/>
              </w:rPr>
              <w:t>序号</w:t>
            </w:r>
          </w:p>
        </w:tc>
        <w:tc>
          <w:tcPr>
            <w:tcW w:w="2215" w:type="pct"/>
            <w:vMerge w:val="restart"/>
            <w:noWrap w:val="0"/>
            <w:vAlign w:val="center"/>
          </w:tcPr>
          <w:p w14:paraId="435BC116">
            <w:pPr>
              <w:tabs>
                <w:tab w:val="left" w:pos="5580"/>
              </w:tabs>
              <w:jc w:val="center"/>
              <w:rPr>
                <w:b/>
                <w:sz w:val="24"/>
              </w:rPr>
            </w:pPr>
            <w:r>
              <w:rPr>
                <w:b/>
                <w:sz w:val="24"/>
              </w:rPr>
              <w:t>投标人名称</w:t>
            </w:r>
          </w:p>
        </w:tc>
        <w:tc>
          <w:tcPr>
            <w:tcW w:w="2373" w:type="pct"/>
            <w:gridSpan w:val="2"/>
            <w:noWrap w:val="0"/>
            <w:vAlign w:val="center"/>
          </w:tcPr>
          <w:p w14:paraId="4E4D8CC1">
            <w:pPr>
              <w:tabs>
                <w:tab w:val="left" w:pos="5580"/>
              </w:tabs>
              <w:jc w:val="center"/>
              <w:rPr>
                <w:b/>
                <w:sz w:val="24"/>
              </w:rPr>
            </w:pPr>
            <w:r>
              <w:rPr>
                <w:b/>
                <w:sz w:val="24"/>
              </w:rPr>
              <w:t>投标报价</w:t>
            </w:r>
          </w:p>
        </w:tc>
      </w:tr>
      <w:tr w14:paraId="662A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noWrap w:val="0"/>
            <w:vAlign w:val="center"/>
          </w:tcPr>
          <w:p w14:paraId="38CA6B9F">
            <w:pPr>
              <w:tabs>
                <w:tab w:val="left" w:pos="5580"/>
              </w:tabs>
              <w:jc w:val="center"/>
              <w:rPr>
                <w:sz w:val="24"/>
              </w:rPr>
            </w:pPr>
          </w:p>
        </w:tc>
        <w:tc>
          <w:tcPr>
            <w:tcW w:w="2215" w:type="pct"/>
            <w:vMerge w:val="continue"/>
            <w:noWrap w:val="0"/>
            <w:vAlign w:val="center"/>
          </w:tcPr>
          <w:p w14:paraId="0FF51EAF">
            <w:pPr>
              <w:tabs>
                <w:tab w:val="left" w:pos="5580"/>
              </w:tabs>
              <w:jc w:val="center"/>
              <w:rPr>
                <w:sz w:val="24"/>
              </w:rPr>
            </w:pPr>
          </w:p>
        </w:tc>
        <w:tc>
          <w:tcPr>
            <w:tcW w:w="1188" w:type="pct"/>
            <w:noWrap w:val="0"/>
            <w:vAlign w:val="center"/>
          </w:tcPr>
          <w:p w14:paraId="3D22B3F5">
            <w:pPr>
              <w:tabs>
                <w:tab w:val="left" w:pos="5580"/>
              </w:tabs>
              <w:jc w:val="center"/>
              <w:rPr>
                <w:b/>
                <w:sz w:val="24"/>
              </w:rPr>
            </w:pPr>
            <w:r>
              <w:rPr>
                <w:b/>
                <w:sz w:val="24"/>
              </w:rPr>
              <w:t>大写</w:t>
            </w:r>
          </w:p>
        </w:tc>
        <w:tc>
          <w:tcPr>
            <w:tcW w:w="1182" w:type="pct"/>
            <w:noWrap w:val="0"/>
            <w:vAlign w:val="center"/>
          </w:tcPr>
          <w:p w14:paraId="31E46A03">
            <w:pPr>
              <w:tabs>
                <w:tab w:val="left" w:pos="5580"/>
              </w:tabs>
              <w:jc w:val="center"/>
              <w:rPr>
                <w:b/>
                <w:sz w:val="24"/>
              </w:rPr>
            </w:pPr>
            <w:r>
              <w:rPr>
                <w:b/>
                <w:sz w:val="24"/>
              </w:rPr>
              <w:t>小写</w:t>
            </w:r>
          </w:p>
        </w:tc>
      </w:tr>
      <w:tr w14:paraId="5E02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noWrap w:val="0"/>
            <w:vAlign w:val="center"/>
          </w:tcPr>
          <w:p w14:paraId="45A3DDEA">
            <w:pPr>
              <w:tabs>
                <w:tab w:val="left" w:pos="5580"/>
              </w:tabs>
              <w:jc w:val="center"/>
              <w:rPr>
                <w:sz w:val="24"/>
              </w:rPr>
            </w:pPr>
          </w:p>
        </w:tc>
        <w:tc>
          <w:tcPr>
            <w:tcW w:w="2215" w:type="pct"/>
            <w:noWrap w:val="0"/>
            <w:vAlign w:val="center"/>
          </w:tcPr>
          <w:p w14:paraId="040632AC">
            <w:pPr>
              <w:tabs>
                <w:tab w:val="left" w:pos="5580"/>
              </w:tabs>
              <w:jc w:val="center"/>
              <w:rPr>
                <w:sz w:val="24"/>
              </w:rPr>
            </w:pPr>
          </w:p>
        </w:tc>
        <w:tc>
          <w:tcPr>
            <w:tcW w:w="1188" w:type="pct"/>
            <w:noWrap w:val="0"/>
            <w:vAlign w:val="center"/>
          </w:tcPr>
          <w:p w14:paraId="373B516F">
            <w:pPr>
              <w:tabs>
                <w:tab w:val="left" w:pos="5580"/>
              </w:tabs>
              <w:jc w:val="center"/>
              <w:rPr>
                <w:sz w:val="24"/>
              </w:rPr>
            </w:pPr>
          </w:p>
        </w:tc>
        <w:tc>
          <w:tcPr>
            <w:tcW w:w="1182" w:type="pct"/>
            <w:noWrap w:val="0"/>
            <w:vAlign w:val="center"/>
          </w:tcPr>
          <w:p w14:paraId="7D71F0CC">
            <w:pPr>
              <w:tabs>
                <w:tab w:val="left" w:pos="5580"/>
              </w:tabs>
              <w:jc w:val="center"/>
              <w:rPr>
                <w:sz w:val="24"/>
              </w:rPr>
            </w:pPr>
          </w:p>
        </w:tc>
      </w:tr>
    </w:tbl>
    <w:p w14:paraId="635DCBA4">
      <w:pPr>
        <w:autoSpaceDE w:val="0"/>
        <w:autoSpaceDN w:val="0"/>
        <w:adjustRightInd w:val="0"/>
        <w:jc w:val="left"/>
        <w:rPr>
          <w:color w:val="000000"/>
          <w:kern w:val="0"/>
          <w:sz w:val="24"/>
        </w:rPr>
      </w:pPr>
    </w:p>
    <w:p w14:paraId="45FD0893">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59E86A05">
      <w:pPr>
        <w:tabs>
          <w:tab w:val="left" w:pos="5580"/>
        </w:tabs>
        <w:ind w:firstLine="480" w:firstLineChars="200"/>
        <w:rPr>
          <w:color w:val="000000"/>
          <w:sz w:val="24"/>
          <w:szCs w:val="20"/>
        </w:rPr>
      </w:pPr>
      <w:r>
        <w:rPr>
          <w:color w:val="000000"/>
          <w:sz w:val="24"/>
          <w:szCs w:val="20"/>
        </w:rPr>
        <w:t>2.本表必须按包分别填写。</w:t>
      </w:r>
    </w:p>
    <w:p w14:paraId="78364D64">
      <w:pPr>
        <w:autoSpaceDE w:val="0"/>
        <w:autoSpaceDN w:val="0"/>
        <w:adjustRightInd w:val="0"/>
        <w:snapToGrid w:val="0"/>
        <w:spacing w:before="25" w:after="25" w:line="360" w:lineRule="auto"/>
        <w:rPr>
          <w:color w:val="000000"/>
          <w:sz w:val="24"/>
          <w:lang w:val="zh-CN"/>
        </w:rPr>
      </w:pPr>
    </w:p>
    <w:p w14:paraId="412AAA2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E0A27E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F7706E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0CD5D5F">
      <w:pPr>
        <w:snapToGrid w:val="0"/>
        <w:spacing w:line="360" w:lineRule="auto"/>
        <w:ind w:right="840" w:firstLine="5247" w:firstLineChars="2499"/>
        <w:rPr>
          <w:rFonts w:asciiTheme="minorEastAsia" w:hAnsiTheme="minorEastAsia" w:eastAsiaTheme="minorEastAsia"/>
        </w:rPr>
      </w:pPr>
    </w:p>
    <w:p w14:paraId="3A218486">
      <w:pPr>
        <w:snapToGrid w:val="0"/>
        <w:spacing w:line="360" w:lineRule="auto"/>
        <w:ind w:right="840" w:firstLine="5247" w:firstLineChars="2499"/>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85A59"/>
    <w:rsid w:val="00451681"/>
    <w:rsid w:val="005C1593"/>
    <w:rsid w:val="008A4C35"/>
    <w:rsid w:val="008B1C96"/>
    <w:rsid w:val="00A1312A"/>
    <w:rsid w:val="00C90FDB"/>
    <w:rsid w:val="00D205B0"/>
    <w:rsid w:val="00E855C8"/>
    <w:rsid w:val="072D5DD4"/>
    <w:rsid w:val="0784155D"/>
    <w:rsid w:val="112E5176"/>
    <w:rsid w:val="191433E3"/>
    <w:rsid w:val="1C185A59"/>
    <w:rsid w:val="1FD30BA6"/>
    <w:rsid w:val="2AE70351"/>
    <w:rsid w:val="2F92077F"/>
    <w:rsid w:val="30BC667B"/>
    <w:rsid w:val="34252C53"/>
    <w:rsid w:val="34821244"/>
    <w:rsid w:val="366210F5"/>
    <w:rsid w:val="3949251B"/>
    <w:rsid w:val="3F234905"/>
    <w:rsid w:val="51D82AE2"/>
    <w:rsid w:val="53F55BA1"/>
    <w:rsid w:val="5AFB19F5"/>
    <w:rsid w:val="60D35D56"/>
    <w:rsid w:val="633522D7"/>
    <w:rsid w:val="6E7F5E82"/>
    <w:rsid w:val="70B01E0A"/>
    <w:rsid w:val="79FE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outlineLvl w:val="3"/>
    </w:pPr>
    <w:rPr>
      <w:sz w:val="28"/>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Date"/>
    <w:basedOn w:val="1"/>
    <w:next w:val="1"/>
    <w:link w:val="13"/>
    <w:qFormat/>
    <w:uiPriority w:val="0"/>
    <w:pPr>
      <w:ind w:left="100" w:leftChars="2500"/>
    </w:p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toc 4"/>
    <w:basedOn w:val="1"/>
    <w:next w:val="1"/>
    <w:qFormat/>
    <w:uiPriority w:val="0"/>
    <w:pPr>
      <w:ind w:left="1260" w:leftChars="600"/>
    </w:pPr>
  </w:style>
  <w:style w:type="paragraph" w:customStyle="1" w:styleId="10">
    <w:name w:val="bt1bt1"/>
    <w:basedOn w:val="2"/>
    <w:autoRedefine/>
    <w:qFormat/>
    <w:uiPriority w:val="0"/>
    <w:pPr>
      <w:spacing w:line="240" w:lineRule="auto"/>
      <w:jc w:val="center"/>
    </w:pPr>
    <w:rPr>
      <w:rFonts w:ascii="黑体" w:eastAsia="黑体"/>
      <w:b w:val="0"/>
      <w:sz w:val="36"/>
      <w:szCs w:val="36"/>
    </w:rPr>
  </w:style>
  <w:style w:type="paragraph" w:styleId="11">
    <w:name w:val="List Paragraph"/>
    <w:basedOn w:val="1"/>
    <w:autoRedefine/>
    <w:unhideWhenUsed/>
    <w:qFormat/>
    <w:uiPriority w:val="34"/>
    <w:pPr>
      <w:ind w:firstLine="420" w:firstLineChars="200"/>
    </w:pPr>
  </w:style>
  <w:style w:type="paragraph" w:styleId="12">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13">
    <w:name w:val="日期 Char"/>
    <w:basedOn w:val="9"/>
    <w:link w:val="5"/>
    <w:qFormat/>
    <w:uiPriority w:val="0"/>
    <w:rPr>
      <w:rFonts w:ascii="Times New Roman" w:hAnsi="Times New Roman" w:eastAsia="宋体" w:cs="Times New Roman"/>
      <w:kern w:val="2"/>
      <w:sz w:val="21"/>
      <w:szCs w:val="24"/>
    </w:rPr>
  </w:style>
  <w:style w:type="paragraph" w:customStyle="1" w:styleId="14">
    <w:name w:val="纯文本1"/>
    <w:next w:val="7"/>
    <w:qFormat/>
    <w:uiPriority w:val="0"/>
    <w:pPr>
      <w:widowControl w:val="0"/>
      <w:adjustRightInd w:val="0"/>
      <w:jc w:val="both"/>
      <w:textAlignment w:val="baseline"/>
    </w:pPr>
    <w:rPr>
      <w:rFonts w:ascii="宋体" w:hAnsi="宋体" w:eastAsia="宋体" w:cs="Times New Roman"/>
      <w:kern w:val="2"/>
      <w:sz w:val="26"/>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1855</Words>
  <Characters>2054</Characters>
  <Lines>9</Lines>
  <Paragraphs>2</Paragraphs>
  <TotalTime>1</TotalTime>
  <ScaleCrop>false</ScaleCrop>
  <LinksUpToDate>false</LinksUpToDate>
  <CharactersWithSpaces>2431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2025-01-08T09:42:00Z</dcterms:created>
  <dc:creator>再也不立flag了</dc:creator>
  <cp:lastModifiedBy>小绿</cp:lastModifiedBy>
  <cp:lastPrinted>2026-03-06T03:48:33Z</cp:lastPrinted>
  <dcterms:modified xsi:type="dcterms:W3CDTF">2026-03-06T03:51:46Z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49A6A92C80B04799931E186D461D08BB_13</vt:lpwstr>
  </property>
  <property fmtid="{D5CDD505-2E9C-101B-9397-08002B2CF9AE}" pid="4" name="KSOTemplateDocerSaveRecord">
    <vt:lpwstr>eyJoZGlkIjoiNTg2NmM0ZDNjN2MyZTk0NWEyNDFhNDlhMzJhOWM0YTIiLCJ1c2VySWQiOiIyMTQxOTQwNTkifQ==</vt:lpwstr>
  </property>
</Properties>
</file>